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2312" w:cs="Times New Roman"/>
          <w:sz w:val="32"/>
          <w:szCs w:val="32"/>
          <w:highlight w:val="none"/>
        </w:rPr>
      </w:pPr>
      <w:bookmarkStart w:id="0" w:name="_GoBack"/>
      <w:bookmarkEnd w:id="0"/>
      <w:r>
        <w:rPr>
          <w:rFonts w:hint="eastAsia" w:ascii="Times New Roman" w:hAnsi="Times New Roman" w:eastAsia="方正仿宋_GB2312" w:cs="Times New Roman"/>
          <w:sz w:val="32"/>
          <w:szCs w:val="32"/>
          <w:highlight w:val="none"/>
        </w:rPr>
        <w:t>附件3：</w:t>
      </w:r>
    </w:p>
    <w:p>
      <w:pPr>
        <w:spacing w:line="600" w:lineRule="exact"/>
        <w:ind w:firstLine="708" w:firstLineChars="177"/>
        <w:jc w:val="center"/>
        <w:rPr>
          <w:rFonts w:ascii="黑体" w:hAnsi="黑体" w:eastAsia="黑体" w:cs="宋体"/>
          <w:bCs/>
          <w:sz w:val="40"/>
          <w:szCs w:val="40"/>
          <w:highlight w:val="none"/>
        </w:rPr>
      </w:pPr>
      <w:r>
        <w:rPr>
          <w:rFonts w:hint="eastAsia" w:ascii="黑体" w:hAnsi="黑体" w:eastAsia="黑体" w:cs="宋体"/>
          <w:bCs/>
          <w:sz w:val="40"/>
          <w:szCs w:val="40"/>
          <w:highlight w:val="none"/>
        </w:rPr>
        <w:t>报告说明</w:t>
      </w:r>
    </w:p>
    <w:p>
      <w:pPr>
        <w:spacing w:line="600" w:lineRule="exact"/>
        <w:ind w:firstLine="566" w:firstLineChars="177"/>
        <w:rPr>
          <w:rFonts w:ascii="黑体" w:hAnsi="黑体" w:eastAsia="黑体" w:cs="宋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sz w:val="32"/>
          <w:szCs w:val="32"/>
          <w:highlight w:val="none"/>
        </w:rPr>
        <w:t xml:space="preserve"> </w:t>
      </w:r>
    </w:p>
    <w:p>
      <w:pPr>
        <w:spacing w:line="600" w:lineRule="exact"/>
        <w:ind w:firstLine="566" w:firstLineChars="177"/>
        <w:rPr>
          <w:rFonts w:ascii="黑体" w:hAnsi="黑体" w:eastAsia="黑体" w:cs="宋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sz w:val="32"/>
          <w:szCs w:val="32"/>
          <w:highlight w:val="none"/>
        </w:rPr>
        <w:t>一、学位授权点建设报告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学位授权点根据《关于开展2020-2025年学位授予点周期性合格评估工作的通知》（学位〔2020〕26号）中的附件1：《学术学位授权点抽评要素》和《专业</w:t>
      </w:r>
      <w:r>
        <w:rPr>
          <w:rFonts w:ascii="仿宋_GB2312" w:eastAsia="仿宋_GB2312"/>
          <w:sz w:val="28"/>
          <w:szCs w:val="28"/>
          <w:highlight w:val="none"/>
        </w:rPr>
        <w:t>学位授权点抽评要素</w:t>
      </w:r>
      <w:r>
        <w:rPr>
          <w:rFonts w:hint="eastAsia" w:ascii="仿宋_GB2312" w:eastAsia="仿宋_GB2312"/>
          <w:sz w:val="28"/>
          <w:szCs w:val="28"/>
          <w:highlight w:val="none"/>
        </w:rPr>
        <w:t>》列出</w:t>
      </w:r>
      <w:r>
        <w:rPr>
          <w:rFonts w:ascii="仿宋_GB2312" w:eastAsia="仿宋_GB2312"/>
          <w:sz w:val="28"/>
          <w:szCs w:val="28"/>
          <w:highlight w:val="none"/>
        </w:rPr>
        <w:t>的</w:t>
      </w:r>
      <w:r>
        <w:rPr>
          <w:rFonts w:hint="eastAsia" w:ascii="仿宋_GB2312" w:eastAsia="仿宋_GB2312"/>
          <w:sz w:val="28"/>
          <w:szCs w:val="28"/>
          <w:highlight w:val="none"/>
        </w:rPr>
        <w:t>主要内容逐项进行编写，但不局限于抽评要素中所列的主要内容。编写时应体现</w:t>
      </w:r>
      <w:r>
        <w:rPr>
          <w:rFonts w:ascii="仿宋_GB2312" w:eastAsia="仿宋_GB2312"/>
          <w:sz w:val="28"/>
          <w:szCs w:val="28"/>
          <w:highlight w:val="none"/>
        </w:rPr>
        <w:t>年度建设总体情况、</w:t>
      </w:r>
      <w:r>
        <w:rPr>
          <w:rFonts w:hint="eastAsia" w:ascii="仿宋_GB2312" w:eastAsia="仿宋_GB2312"/>
          <w:sz w:val="28"/>
          <w:szCs w:val="28"/>
          <w:highlight w:val="none"/>
        </w:rPr>
        <w:t>制度</w:t>
      </w:r>
      <w:r>
        <w:rPr>
          <w:rFonts w:ascii="仿宋_GB2312" w:eastAsia="仿宋_GB2312"/>
          <w:sz w:val="28"/>
          <w:szCs w:val="28"/>
          <w:highlight w:val="none"/>
        </w:rPr>
        <w:t>完善</w:t>
      </w:r>
      <w:r>
        <w:rPr>
          <w:rFonts w:hint="eastAsia" w:ascii="仿宋_GB2312" w:eastAsia="仿宋_GB2312"/>
          <w:sz w:val="28"/>
          <w:szCs w:val="28"/>
          <w:highlight w:val="none"/>
        </w:rPr>
        <w:t>及</w:t>
      </w:r>
      <w:r>
        <w:rPr>
          <w:rFonts w:ascii="仿宋_GB2312" w:eastAsia="仿宋_GB2312"/>
          <w:sz w:val="28"/>
          <w:szCs w:val="28"/>
          <w:highlight w:val="none"/>
        </w:rPr>
        <w:t>执行情况</w:t>
      </w:r>
      <w:r>
        <w:rPr>
          <w:rFonts w:hint="eastAsia" w:ascii="仿宋_GB2312" w:eastAsia="仿宋_GB2312"/>
          <w:sz w:val="28"/>
          <w:szCs w:val="28"/>
          <w:highlight w:val="none"/>
        </w:rPr>
        <w:t>、人才培养</w:t>
      </w:r>
      <w:r>
        <w:rPr>
          <w:rFonts w:ascii="仿宋_GB2312" w:eastAsia="仿宋_GB2312"/>
          <w:sz w:val="28"/>
          <w:szCs w:val="28"/>
          <w:highlight w:val="none"/>
        </w:rPr>
        <w:t>特色</w:t>
      </w:r>
      <w:r>
        <w:rPr>
          <w:rFonts w:hint="eastAsia" w:ascii="仿宋_GB2312" w:eastAsia="仿宋_GB2312"/>
          <w:sz w:val="28"/>
          <w:szCs w:val="28"/>
          <w:highlight w:val="none"/>
        </w:rPr>
        <w:t>以及工作</w:t>
      </w:r>
      <w:r>
        <w:rPr>
          <w:rFonts w:ascii="仿宋_GB2312" w:eastAsia="仿宋_GB2312"/>
          <w:sz w:val="28"/>
          <w:szCs w:val="28"/>
          <w:highlight w:val="none"/>
        </w:rPr>
        <w:t>亮点</w:t>
      </w:r>
      <w:r>
        <w:rPr>
          <w:rFonts w:hint="eastAsia" w:ascii="仿宋_GB2312" w:eastAsia="仿宋_GB2312"/>
          <w:sz w:val="28"/>
          <w:szCs w:val="28"/>
          <w:highlight w:val="none"/>
        </w:rPr>
        <w:t>和</w:t>
      </w:r>
      <w:r>
        <w:rPr>
          <w:rFonts w:ascii="仿宋_GB2312" w:eastAsia="仿宋_GB2312"/>
          <w:sz w:val="28"/>
          <w:szCs w:val="28"/>
          <w:highlight w:val="none"/>
        </w:rPr>
        <w:t>成绩</w:t>
      </w:r>
      <w:r>
        <w:rPr>
          <w:rFonts w:hint="eastAsia" w:ascii="仿宋_GB2312" w:eastAsia="仿宋_GB2312"/>
          <w:sz w:val="28"/>
          <w:szCs w:val="28"/>
          <w:highlight w:val="none"/>
        </w:rPr>
        <w:t>等，相关数据统计可以使用图表表示。</w:t>
      </w:r>
    </w:p>
    <w:p>
      <w:pPr>
        <w:spacing w:line="360" w:lineRule="auto"/>
        <w:ind w:firstLine="560" w:firstLineChars="200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参评学位授权点周期性合格评估工作的建设</w:t>
      </w:r>
      <w:r>
        <w:rPr>
          <w:rFonts w:ascii="仿宋_GB2312" w:eastAsia="仿宋_GB2312"/>
          <w:sz w:val="28"/>
          <w:szCs w:val="28"/>
          <w:highlight w:val="none"/>
        </w:rPr>
        <w:t>报告统计时间段</w:t>
      </w:r>
      <w:r>
        <w:rPr>
          <w:rFonts w:hint="eastAsia" w:ascii="仿宋_GB2312" w:eastAsia="仿宋_GB2312"/>
          <w:sz w:val="28"/>
          <w:szCs w:val="28"/>
          <w:highlight w:val="none"/>
        </w:rPr>
        <w:t>为2021年1月</w:t>
      </w:r>
      <w:r>
        <w:rPr>
          <w:rFonts w:ascii="仿宋_GB2312" w:eastAsia="仿宋_GB2312"/>
          <w:sz w:val="28"/>
          <w:szCs w:val="28"/>
          <w:highlight w:val="none"/>
        </w:rPr>
        <w:t>-12</w:t>
      </w:r>
      <w:r>
        <w:rPr>
          <w:rFonts w:hint="eastAsia" w:ascii="仿宋_GB2312" w:eastAsia="仿宋_GB2312"/>
          <w:sz w:val="28"/>
          <w:szCs w:val="28"/>
          <w:highlight w:val="none"/>
        </w:rPr>
        <w:t>月。</w:t>
      </w:r>
    </w:p>
    <w:p>
      <w:pPr>
        <w:pStyle w:val="2"/>
        <w:ind w:firstLine="560"/>
        <w:rPr>
          <w:rFonts w:eastAsia="仿宋_GB2312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参评学位授权点专项合格评估工作的建设</w:t>
      </w:r>
      <w:r>
        <w:rPr>
          <w:rFonts w:ascii="仿宋_GB2312" w:eastAsia="仿宋_GB2312"/>
          <w:sz w:val="28"/>
          <w:szCs w:val="28"/>
          <w:highlight w:val="none"/>
        </w:rPr>
        <w:t>报告统计时间段</w:t>
      </w:r>
      <w:r>
        <w:rPr>
          <w:rFonts w:hint="eastAsia" w:ascii="仿宋_GB2312" w:eastAsia="仿宋_GB2312"/>
          <w:sz w:val="28"/>
          <w:szCs w:val="28"/>
          <w:highlight w:val="none"/>
        </w:rPr>
        <w:t>为2018年6月至今。</w:t>
      </w:r>
    </w:p>
    <w:p>
      <w:pPr>
        <w:spacing w:line="360" w:lineRule="auto"/>
        <w:ind w:firstLine="640" w:firstLineChars="200"/>
        <w:rPr>
          <w:rFonts w:ascii="黑体" w:hAnsi="黑体" w:eastAsia="黑体" w:cs="宋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sz w:val="32"/>
          <w:szCs w:val="32"/>
          <w:highlight w:val="none"/>
        </w:rPr>
        <w:t>二、学位授权点建设存在的问题</w:t>
      </w:r>
    </w:p>
    <w:p>
      <w:pPr>
        <w:spacing w:line="600" w:lineRule="exact"/>
        <w:ind w:firstLine="560" w:firstLineChars="200"/>
        <w:jc w:val="left"/>
        <w:rPr>
          <w:rFonts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学位授权点存在问题及分析</w:t>
      </w:r>
    </w:p>
    <w:p>
      <w:pPr>
        <w:spacing w:line="600" w:lineRule="exact"/>
        <w:ind w:firstLine="640" w:firstLineChars="200"/>
        <w:jc w:val="left"/>
        <w:rPr>
          <w:rFonts w:ascii="黑体" w:hAnsi="黑体" w:eastAsia="黑体" w:cs="宋体"/>
          <w:bCs/>
          <w:sz w:val="32"/>
          <w:szCs w:val="32"/>
          <w:highlight w:val="none"/>
        </w:rPr>
      </w:pPr>
      <w:r>
        <w:rPr>
          <w:rFonts w:hint="eastAsia" w:ascii="黑体" w:hAnsi="黑体" w:eastAsia="黑体" w:cs="宋体"/>
          <w:bCs/>
          <w:sz w:val="32"/>
          <w:szCs w:val="32"/>
          <w:highlight w:val="none"/>
        </w:rPr>
        <w:t>三、下一年度建设计划</w:t>
      </w:r>
    </w:p>
    <w:p>
      <w:pPr>
        <w:spacing w:line="600" w:lineRule="exact"/>
        <w:ind w:firstLine="560" w:firstLineChars="200"/>
        <w:jc w:val="left"/>
        <w:rPr>
          <w:rFonts w:ascii="仿宋_GB2312" w:hAnsi="仿宋_GB2312" w:eastAsia="仿宋_GB2312" w:cs="仿宋_GB2312"/>
          <w:sz w:val="28"/>
          <w:szCs w:val="28"/>
          <w:highlight w:val="none"/>
        </w:rPr>
      </w:pPr>
      <w:r>
        <w:rPr>
          <w:rFonts w:hint="eastAsia" w:ascii="仿宋_GB2312" w:hAnsi="仿宋_GB2312" w:eastAsia="仿宋_GB2312" w:cs="仿宋_GB2312"/>
          <w:sz w:val="28"/>
          <w:szCs w:val="28"/>
          <w:highlight w:val="none"/>
        </w:rPr>
        <w:t>针对问题提出改进建议和下一步思路举措包括发展目标和保障措施。</w:t>
      </w:r>
    </w:p>
    <w:p>
      <w:pPr>
        <w:jc w:val="left"/>
        <w:rPr>
          <w:rFonts w:ascii="仿宋" w:hAnsi="仿宋" w:eastAsia="仿宋" w:cs="仿宋"/>
          <w:b/>
          <w:sz w:val="56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56"/>
          <w:szCs w:val="32"/>
          <w:highlight w:val="none"/>
        </w:rPr>
        <w:br w:type="page"/>
      </w:r>
      <w:r>
        <w:rPr>
          <w:rFonts w:hint="eastAsia" w:ascii="仿宋" w:hAnsi="仿宋" w:eastAsia="仿宋" w:cs="仿宋"/>
          <w:b/>
          <w:sz w:val="36"/>
          <w:szCs w:val="20"/>
          <w:highlight w:val="none"/>
        </w:rPr>
        <w:t>建议模板</w:t>
      </w:r>
    </w:p>
    <w:p>
      <w:pPr>
        <w:jc w:val="center"/>
        <w:rPr>
          <w:rFonts w:ascii="仿宋" w:hAnsi="仿宋" w:eastAsia="仿宋" w:cs="仿宋"/>
          <w:b/>
          <w:sz w:val="72"/>
          <w:szCs w:val="36"/>
          <w:highlight w:val="none"/>
        </w:rPr>
      </w:pPr>
      <w:r>
        <w:rPr>
          <w:rFonts w:hint="eastAsia" w:ascii="仿宋" w:hAnsi="仿宋" w:eastAsia="仿宋" w:cs="仿宋"/>
          <w:b/>
          <w:sz w:val="72"/>
          <w:szCs w:val="36"/>
          <w:highlight w:val="none"/>
        </w:rPr>
        <w:t>南京中医药大学</w:t>
      </w:r>
    </w:p>
    <w:p>
      <w:pPr>
        <w:jc w:val="center"/>
        <w:rPr>
          <w:rFonts w:ascii="仿宋" w:hAnsi="仿宋" w:eastAsia="仿宋" w:cs="仿宋"/>
          <w:b/>
          <w:sz w:val="56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56"/>
          <w:szCs w:val="32"/>
          <w:highlight w:val="none"/>
        </w:rPr>
        <w:t xml:space="preserve"> </w:t>
      </w:r>
    </w:p>
    <w:p>
      <w:pPr>
        <w:jc w:val="center"/>
        <w:rPr>
          <w:rFonts w:ascii="仿宋" w:hAnsi="仿宋" w:eastAsia="仿宋" w:cs="仿宋"/>
          <w:b/>
          <w:sz w:val="56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56"/>
          <w:szCs w:val="32"/>
          <w:highlight w:val="none"/>
        </w:rPr>
        <w:t>学术学位授权点建设报告</w:t>
      </w:r>
    </w:p>
    <w:p>
      <w:pPr>
        <w:jc w:val="center"/>
        <w:rPr>
          <w:rFonts w:ascii="仿宋" w:hAnsi="仿宋" w:eastAsia="仿宋" w:cs="仿宋"/>
          <w:b/>
          <w:sz w:val="32"/>
          <w:szCs w:val="32"/>
          <w:highlight w:val="none"/>
        </w:rPr>
      </w:pPr>
    </w:p>
    <w:p>
      <w:pPr>
        <w:pStyle w:val="2"/>
        <w:ind w:firstLine="420"/>
        <w:rPr>
          <w:highlight w:val="none"/>
        </w:rPr>
      </w:pPr>
    </w:p>
    <w:tbl>
      <w:tblPr>
        <w:tblStyle w:val="20"/>
        <w:tblW w:w="5291" w:type="dxa"/>
        <w:tblInd w:w="17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restart"/>
            <w:noWrap w:val="0"/>
            <w:vAlign w:val="center"/>
          </w:tcPr>
          <w:p>
            <w:pPr>
              <w:spacing w:line="200" w:lineRule="atLeast"/>
              <w:jc w:val="distribute"/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学位授予单位</w:t>
            </w:r>
          </w:p>
        </w:tc>
        <w:tc>
          <w:tcPr>
            <w:tcW w:w="31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名称：</w:t>
            </w:r>
            <w:r>
              <w:rPr>
                <w:rFonts w:hint="eastAsia" w:ascii="Times New Roman" w:hAnsi="Times New Roman" w:eastAsia="楷体_GB2312"/>
                <w:b/>
                <w:sz w:val="30"/>
                <w:szCs w:val="30"/>
                <w:highlight w:val="none"/>
              </w:rPr>
              <w:t>南京中医药大学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</w:p>
        </w:tc>
        <w:tc>
          <w:tcPr>
            <w:tcW w:w="31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代码：</w:t>
            </w:r>
            <w:r>
              <w:rPr>
                <w:rFonts w:hint="eastAsia" w:ascii="Times New Roman" w:hAnsi="Times New Roman" w:eastAsia="楷体_GB2312"/>
                <w:b/>
                <w:sz w:val="30"/>
                <w:szCs w:val="30"/>
                <w:highlight w:val="none"/>
              </w:rPr>
              <w:t xml:space="preserve">   10315</w:t>
            </w:r>
          </w:p>
        </w:tc>
      </w:tr>
    </w:tbl>
    <w:p>
      <w:pPr>
        <w:rPr>
          <w:highlight w:val="none"/>
        </w:rPr>
      </w:pPr>
    </w:p>
    <w:p>
      <w:pPr>
        <w:pStyle w:val="2"/>
        <w:ind w:firstLine="420"/>
        <w:rPr>
          <w:highlight w:val="none"/>
        </w:rPr>
      </w:pPr>
    </w:p>
    <w:tbl>
      <w:tblPr>
        <w:tblStyle w:val="20"/>
        <w:tblW w:w="5279" w:type="dxa"/>
        <w:tblInd w:w="17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restart"/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授权学科</w:t>
            </w:r>
          </w:p>
        </w:tc>
        <w:tc>
          <w:tcPr>
            <w:tcW w:w="311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</w:p>
        </w:tc>
        <w:tc>
          <w:tcPr>
            <w:tcW w:w="311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代码：</w:t>
            </w:r>
          </w:p>
        </w:tc>
      </w:tr>
    </w:tbl>
    <w:p>
      <w:pPr>
        <w:spacing w:line="720" w:lineRule="auto"/>
        <w:jc w:val="center"/>
        <w:rPr>
          <w:rFonts w:ascii="Times New Roman" w:hAnsi="Times New Roman" w:eastAsia="楷体_GB2312"/>
          <w:b/>
          <w:sz w:val="30"/>
          <w:szCs w:val="30"/>
          <w:highlight w:val="none"/>
        </w:rPr>
      </w:pPr>
    </w:p>
    <w:tbl>
      <w:tblPr>
        <w:tblStyle w:val="20"/>
        <w:tblW w:w="5291" w:type="dxa"/>
        <w:tblInd w:w="172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3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restart"/>
            <w:noWrap w:val="0"/>
            <w:vAlign w:val="center"/>
          </w:tcPr>
          <w:p>
            <w:pPr>
              <w:jc w:val="distribute"/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授权级别</w:t>
            </w:r>
          </w:p>
        </w:tc>
        <w:tc>
          <w:tcPr>
            <w:tcW w:w="31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□  博  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0" w:type="dxa"/>
            <w:vMerge w:val="continue"/>
            <w:noWrap w:val="0"/>
            <w:vAlign w:val="top"/>
          </w:tcPr>
          <w:p>
            <w:pPr>
              <w:jc w:val="center"/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</w:p>
        </w:tc>
        <w:tc>
          <w:tcPr>
            <w:tcW w:w="313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</w:pPr>
            <w:r>
              <w:rPr>
                <w:rFonts w:ascii="Times New Roman" w:hAnsi="Times New Roman" w:eastAsia="楷体_GB2312"/>
                <w:b/>
                <w:sz w:val="30"/>
                <w:szCs w:val="30"/>
                <w:highlight w:val="none"/>
              </w:rPr>
              <w:t>□  硕  士</w:t>
            </w:r>
          </w:p>
        </w:tc>
      </w:tr>
    </w:tbl>
    <w:p>
      <w:pPr>
        <w:jc w:val="center"/>
        <w:rPr>
          <w:rFonts w:ascii="仿宋" w:hAnsi="仿宋" w:eastAsia="仿宋" w:cs="仿宋"/>
          <w:b/>
          <w:sz w:val="32"/>
          <w:szCs w:val="32"/>
          <w:highlight w:val="none"/>
        </w:rPr>
      </w:pPr>
    </w:p>
    <w:p>
      <w:pPr>
        <w:jc w:val="center"/>
        <w:rPr>
          <w:rFonts w:ascii="仿宋" w:hAnsi="仿宋" w:eastAsia="仿宋" w:cs="仿宋"/>
          <w:b/>
          <w:sz w:val="32"/>
          <w:szCs w:val="32"/>
          <w:highlight w:val="none"/>
        </w:rPr>
      </w:pPr>
    </w:p>
    <w:p>
      <w:pPr>
        <w:jc w:val="center"/>
        <w:rPr>
          <w:rFonts w:ascii="仿宋" w:hAnsi="仿宋" w:eastAsia="仿宋" w:cs="仿宋"/>
          <w:b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2"/>
          <w:szCs w:val="32"/>
          <w:highlight w:val="none"/>
        </w:rPr>
        <w:t>南京中医药大学</w:t>
      </w:r>
    </w:p>
    <w:p>
      <w:pPr>
        <w:jc w:val="center"/>
        <w:rPr>
          <w:rFonts w:ascii="仿宋" w:hAnsi="仿宋" w:eastAsia="仿宋" w:cs="仿宋"/>
          <w:b/>
          <w:sz w:val="30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0"/>
          <w:szCs w:val="32"/>
          <w:highlight w:val="none"/>
        </w:rPr>
        <w:t>2022年1月</w:t>
      </w:r>
    </w:p>
    <w:p>
      <w:pPr>
        <w:rPr>
          <w:rFonts w:ascii="仿宋" w:hAnsi="仿宋" w:eastAsia="仿宋" w:cs="仿宋"/>
          <w:b/>
          <w:sz w:val="30"/>
          <w:szCs w:val="32"/>
          <w:highlight w:val="none"/>
        </w:rPr>
      </w:pPr>
      <w:r>
        <w:rPr>
          <w:rFonts w:hint="eastAsia" w:ascii="仿宋" w:hAnsi="仿宋" w:eastAsia="仿宋" w:cs="仿宋"/>
          <w:b/>
          <w:sz w:val="30"/>
          <w:szCs w:val="32"/>
          <w:highlight w:val="none"/>
        </w:rPr>
        <w:br w:type="page"/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一、总体概况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（一）学位授权点基本情况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（学位授予质量标准的情况）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（二）培养目标与培养方向简介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（三）研究生规模及结构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（研究生招生、在校生、毕业和学位授予）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二、研究生党建与思想政治教育工作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（一）思政课程与课程思政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（二）思想政治教育队伍建设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（三）研究生党建与校园文化建设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三、研究生培养与教学工作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（一）师资队伍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各培养方向带头人与学术骨干，主要师资队伍情况。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（二）课程教学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本学位点开设的核心课程及主讲教师。课程教学质量和持续改进机制，教材建设情况等。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（三）导师指导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导师选聘、培训和考核情况,导师指导研究生的制度要求与执行情况。博士生导师岗位制度建设情况。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（四）学术训练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研究生参与学术训练及科教融合培养研究生成效，包括制度保证、经费支持等。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（五）学术交流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研究生参与国际国内学术交流的基本情况。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（六）论文质量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体现本学科特点的学位论文规范、评阅规则和核查办法的制定及执行情况。本学位点学位论文在各类论文抽检、评审中的情况和论文质量分析。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（七）质量保证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培养全过程监控与质量保证、加强学位论文和学位授予管理、强化指导教师质量管控责任、分流淘汰机制等情况。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（八）学风建设</w:t>
      </w:r>
    </w:p>
    <w:p>
      <w:pPr>
        <w:pStyle w:val="2"/>
        <w:spacing w:line="360" w:lineRule="auto"/>
        <w:rPr>
          <w:highlight w:val="none"/>
        </w:rPr>
      </w:pPr>
      <w:r>
        <w:rPr>
          <w:rFonts w:hint="eastAsia" w:ascii="仿宋" w:hAnsi="仿宋" w:eastAsia="仿宋" w:cs="仿宋"/>
          <w:sz w:val="32"/>
          <w:highlight w:val="none"/>
        </w:rPr>
        <w:t>本学位点科学道德和学术规范教育开展情况，学术不端行为处理情况等。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（九）就业发展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本学位点毕业研究生的就业率、就业去向分析、用人单位意见反馈和毕业生发展质量调查情况。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四、研究生教育支撑条件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（一）科学研究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本学位点近5年已完成的主要科研项目以及在研项目情况。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（二）支撑平台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本学位点支撑研究生学习、科研的平台情况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（三）奖助体系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本学位点研究生奖助体系的制度建设，奖助水平、覆盖面等情况。</w:t>
      </w:r>
    </w:p>
    <w:p>
      <w:pPr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（四）管理服务</w:t>
      </w:r>
    </w:p>
    <w:p>
      <w:pPr>
        <w:pStyle w:val="2"/>
        <w:spacing w:line="360" w:lineRule="auto"/>
        <w:rPr>
          <w:highlight w:val="none"/>
        </w:rPr>
      </w:pPr>
      <w:r>
        <w:rPr>
          <w:rFonts w:hint="eastAsia" w:ascii="仿宋" w:hAnsi="仿宋" w:eastAsia="仿宋" w:cs="仿宋"/>
          <w:sz w:val="32"/>
          <w:highlight w:val="none"/>
        </w:rPr>
        <w:t>专职管理人员配备情况，研究生权益保障制度建立情况，在学研究生满意度调查情况等。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五、学位点服务贡献典型案例</w:t>
      </w:r>
    </w:p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本学位点在科研成果转化、促进科技进步、服务国家和地区经济发展、繁荣和发展社会主义文化等方面1-2个典型案例。</w:t>
      </w:r>
    </w:p>
    <w:p>
      <w:pPr>
        <w:spacing w:line="360" w:lineRule="auto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六、存在的问题及改进措施</w:t>
      </w:r>
    </w:p>
    <w:p>
      <w:pPr>
        <w:spacing w:line="360" w:lineRule="auto"/>
        <w:ind w:firstLine="63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（一）存在的问题</w:t>
      </w:r>
    </w:p>
    <w:p>
      <w:pPr>
        <w:spacing w:line="360" w:lineRule="auto"/>
        <w:ind w:firstLine="63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本学位点研究生教育过程中存在的问题及原因分析。</w:t>
      </w:r>
    </w:p>
    <w:p>
      <w:pPr>
        <w:spacing w:line="360" w:lineRule="auto"/>
        <w:ind w:firstLine="630"/>
        <w:rPr>
          <w:rFonts w:ascii="仿宋" w:hAnsi="仿宋" w:eastAsia="仿宋" w:cs="仿宋"/>
          <w:b/>
          <w:bCs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highlight w:val="none"/>
        </w:rPr>
        <w:t>（二）下一年度建设计划</w:t>
      </w:r>
    </w:p>
    <w:p>
      <w:pPr>
        <w:spacing w:line="360" w:lineRule="auto"/>
        <w:ind w:firstLine="630"/>
        <w:rPr>
          <w:rFonts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针对问题提出改进建议和下一步思路措施。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</w:p>
    <w:p>
      <w:pPr>
        <w:adjustRightInd w:val="0"/>
        <w:snapToGrid w:val="0"/>
        <w:spacing w:line="340" w:lineRule="exact"/>
        <w:ind w:firstLine="630"/>
        <w:rPr>
          <w:rFonts w:hint="eastAsia" w:ascii="仿宋" w:hAnsi="仿宋" w:eastAsia="仿宋" w:cs="仿宋"/>
          <w:color w:val="FF000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separate"/>
    </w:r>
    <w:r>
      <w:rPr>
        <w:rStyle w:val="23"/>
        <w:lang/>
      </w:rPr>
      <w:t>1</w:t>
    </w:r>
    <w:r>
      <w:fldChar w:fldCharType="end"/>
    </w:r>
  </w:p>
  <w:p>
    <w:pPr>
      <w:pStyle w:val="1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framePr w:wrap="around" w:vAnchor="text" w:hAnchor="margin" w:xAlign="center" w:y="1"/>
      <w:rPr>
        <w:rStyle w:val="23"/>
      </w:rPr>
    </w:pPr>
    <w:r>
      <w:fldChar w:fldCharType="begin"/>
    </w:r>
    <w:r>
      <w:rPr>
        <w:rStyle w:val="23"/>
      </w:rPr>
      <w:instrText xml:space="preserve">PAGE  </w:instrText>
    </w:r>
    <w:r>
      <w:fldChar w:fldCharType="end"/>
    </w:r>
  </w:p>
  <w:p>
    <w:pPr>
      <w:pStyle w:val="11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81"/>
    <w:rsid w:val="000150A9"/>
    <w:rsid w:val="00030D0C"/>
    <w:rsid w:val="00031CCE"/>
    <w:rsid w:val="00032D78"/>
    <w:rsid w:val="000539EC"/>
    <w:rsid w:val="00054AAF"/>
    <w:rsid w:val="00056673"/>
    <w:rsid w:val="00056CCF"/>
    <w:rsid w:val="00064853"/>
    <w:rsid w:val="0006715D"/>
    <w:rsid w:val="0007206D"/>
    <w:rsid w:val="00073D5A"/>
    <w:rsid w:val="0007487B"/>
    <w:rsid w:val="000933B3"/>
    <w:rsid w:val="00096C56"/>
    <w:rsid w:val="000A1B25"/>
    <w:rsid w:val="000A57EC"/>
    <w:rsid w:val="000B3E7E"/>
    <w:rsid w:val="000D4C27"/>
    <w:rsid w:val="000E0303"/>
    <w:rsid w:val="000F13C8"/>
    <w:rsid w:val="001117BD"/>
    <w:rsid w:val="00111A56"/>
    <w:rsid w:val="00112A28"/>
    <w:rsid w:val="001249AE"/>
    <w:rsid w:val="0013317A"/>
    <w:rsid w:val="001419D7"/>
    <w:rsid w:val="00162D2C"/>
    <w:rsid w:val="0016421D"/>
    <w:rsid w:val="0016694A"/>
    <w:rsid w:val="001770AE"/>
    <w:rsid w:val="001D0781"/>
    <w:rsid w:val="001E0236"/>
    <w:rsid w:val="0020260A"/>
    <w:rsid w:val="002121AF"/>
    <w:rsid w:val="002136D9"/>
    <w:rsid w:val="00216857"/>
    <w:rsid w:val="00220379"/>
    <w:rsid w:val="00224045"/>
    <w:rsid w:val="00252A2E"/>
    <w:rsid w:val="0026136D"/>
    <w:rsid w:val="0026591F"/>
    <w:rsid w:val="0027034F"/>
    <w:rsid w:val="002835C5"/>
    <w:rsid w:val="00283ED7"/>
    <w:rsid w:val="002A0ED1"/>
    <w:rsid w:val="00310A97"/>
    <w:rsid w:val="0031172C"/>
    <w:rsid w:val="003644A1"/>
    <w:rsid w:val="0038477F"/>
    <w:rsid w:val="003A39D8"/>
    <w:rsid w:val="003C2094"/>
    <w:rsid w:val="003C7D5C"/>
    <w:rsid w:val="003D1AAF"/>
    <w:rsid w:val="003D6D0E"/>
    <w:rsid w:val="003E140A"/>
    <w:rsid w:val="003E31E8"/>
    <w:rsid w:val="003E454C"/>
    <w:rsid w:val="004019E1"/>
    <w:rsid w:val="0043388A"/>
    <w:rsid w:val="004416D9"/>
    <w:rsid w:val="004436D7"/>
    <w:rsid w:val="00467C27"/>
    <w:rsid w:val="00474AA7"/>
    <w:rsid w:val="00486868"/>
    <w:rsid w:val="004907E2"/>
    <w:rsid w:val="00491B7B"/>
    <w:rsid w:val="0049481D"/>
    <w:rsid w:val="004A17C5"/>
    <w:rsid w:val="004A5C9A"/>
    <w:rsid w:val="004C59CD"/>
    <w:rsid w:val="004D588F"/>
    <w:rsid w:val="004D7AAC"/>
    <w:rsid w:val="004F141B"/>
    <w:rsid w:val="00502DD4"/>
    <w:rsid w:val="00511E50"/>
    <w:rsid w:val="00514822"/>
    <w:rsid w:val="00520CE7"/>
    <w:rsid w:val="005218AE"/>
    <w:rsid w:val="005372F0"/>
    <w:rsid w:val="005A508B"/>
    <w:rsid w:val="005A6E34"/>
    <w:rsid w:val="005B0967"/>
    <w:rsid w:val="005F17B5"/>
    <w:rsid w:val="005F205C"/>
    <w:rsid w:val="00604614"/>
    <w:rsid w:val="0062407F"/>
    <w:rsid w:val="00656EB4"/>
    <w:rsid w:val="00662C7E"/>
    <w:rsid w:val="00693542"/>
    <w:rsid w:val="006B2CCF"/>
    <w:rsid w:val="006C71DB"/>
    <w:rsid w:val="006D3F94"/>
    <w:rsid w:val="00700CA1"/>
    <w:rsid w:val="00731C70"/>
    <w:rsid w:val="007364C3"/>
    <w:rsid w:val="007466ED"/>
    <w:rsid w:val="00751E49"/>
    <w:rsid w:val="00752A5B"/>
    <w:rsid w:val="00755755"/>
    <w:rsid w:val="00756D34"/>
    <w:rsid w:val="007A685C"/>
    <w:rsid w:val="007C1D9E"/>
    <w:rsid w:val="007D1BBB"/>
    <w:rsid w:val="007E7674"/>
    <w:rsid w:val="00810EA8"/>
    <w:rsid w:val="008142EC"/>
    <w:rsid w:val="008179B0"/>
    <w:rsid w:val="0084105B"/>
    <w:rsid w:val="00842F20"/>
    <w:rsid w:val="0086154D"/>
    <w:rsid w:val="00864526"/>
    <w:rsid w:val="0087633B"/>
    <w:rsid w:val="008A0869"/>
    <w:rsid w:val="008A7C93"/>
    <w:rsid w:val="008C30AC"/>
    <w:rsid w:val="008E1CD9"/>
    <w:rsid w:val="008E4482"/>
    <w:rsid w:val="008F6BEC"/>
    <w:rsid w:val="008F7356"/>
    <w:rsid w:val="00906BC8"/>
    <w:rsid w:val="009134E1"/>
    <w:rsid w:val="00916A1F"/>
    <w:rsid w:val="00923914"/>
    <w:rsid w:val="0092693C"/>
    <w:rsid w:val="009349E0"/>
    <w:rsid w:val="00940F9D"/>
    <w:rsid w:val="00960A47"/>
    <w:rsid w:val="0097432E"/>
    <w:rsid w:val="00976BE7"/>
    <w:rsid w:val="0099465D"/>
    <w:rsid w:val="009D4BAD"/>
    <w:rsid w:val="009E3243"/>
    <w:rsid w:val="009F20D6"/>
    <w:rsid w:val="009F5B64"/>
    <w:rsid w:val="00A0304F"/>
    <w:rsid w:val="00A03326"/>
    <w:rsid w:val="00A06111"/>
    <w:rsid w:val="00A11E01"/>
    <w:rsid w:val="00A32373"/>
    <w:rsid w:val="00A42513"/>
    <w:rsid w:val="00A53519"/>
    <w:rsid w:val="00A64DDB"/>
    <w:rsid w:val="00A90986"/>
    <w:rsid w:val="00AC2914"/>
    <w:rsid w:val="00AD35A8"/>
    <w:rsid w:val="00AD443D"/>
    <w:rsid w:val="00B13D11"/>
    <w:rsid w:val="00B27821"/>
    <w:rsid w:val="00B356EB"/>
    <w:rsid w:val="00B7327F"/>
    <w:rsid w:val="00B73DEA"/>
    <w:rsid w:val="00BA450D"/>
    <w:rsid w:val="00BC6409"/>
    <w:rsid w:val="00BE0CE4"/>
    <w:rsid w:val="00C22A10"/>
    <w:rsid w:val="00C24F9B"/>
    <w:rsid w:val="00C35C29"/>
    <w:rsid w:val="00C56702"/>
    <w:rsid w:val="00C5673A"/>
    <w:rsid w:val="00C84FCD"/>
    <w:rsid w:val="00C93694"/>
    <w:rsid w:val="00CA6BD2"/>
    <w:rsid w:val="00CA7F7B"/>
    <w:rsid w:val="00CC149D"/>
    <w:rsid w:val="00CC35ED"/>
    <w:rsid w:val="00CD1DE8"/>
    <w:rsid w:val="00CD7DA2"/>
    <w:rsid w:val="00D21ED8"/>
    <w:rsid w:val="00D239E6"/>
    <w:rsid w:val="00D2527E"/>
    <w:rsid w:val="00D314B6"/>
    <w:rsid w:val="00D32BAD"/>
    <w:rsid w:val="00D42F2C"/>
    <w:rsid w:val="00D43FBD"/>
    <w:rsid w:val="00D875E1"/>
    <w:rsid w:val="00D87678"/>
    <w:rsid w:val="00DB10D7"/>
    <w:rsid w:val="00DC49C9"/>
    <w:rsid w:val="00DF06B0"/>
    <w:rsid w:val="00DF415F"/>
    <w:rsid w:val="00DF6A4E"/>
    <w:rsid w:val="00E0386C"/>
    <w:rsid w:val="00E078F4"/>
    <w:rsid w:val="00E24F8B"/>
    <w:rsid w:val="00E30100"/>
    <w:rsid w:val="00E42121"/>
    <w:rsid w:val="00E438E8"/>
    <w:rsid w:val="00E52BF5"/>
    <w:rsid w:val="00E66B0E"/>
    <w:rsid w:val="00EA106E"/>
    <w:rsid w:val="00EA155A"/>
    <w:rsid w:val="00EA7B65"/>
    <w:rsid w:val="00EB1D3B"/>
    <w:rsid w:val="00EB67AE"/>
    <w:rsid w:val="00EE046B"/>
    <w:rsid w:val="00EF0F13"/>
    <w:rsid w:val="00F37227"/>
    <w:rsid w:val="00F72D06"/>
    <w:rsid w:val="00F747EE"/>
    <w:rsid w:val="00F87A51"/>
    <w:rsid w:val="00FB6D0D"/>
    <w:rsid w:val="00FE5881"/>
    <w:rsid w:val="0A7D5DAA"/>
    <w:rsid w:val="0AC53018"/>
    <w:rsid w:val="0B1A5D6E"/>
    <w:rsid w:val="0FC02F00"/>
    <w:rsid w:val="20054F90"/>
    <w:rsid w:val="257F1135"/>
    <w:rsid w:val="33AB67BA"/>
    <w:rsid w:val="471371A3"/>
    <w:rsid w:val="50C37545"/>
    <w:rsid w:val="57CA4C4D"/>
    <w:rsid w:val="6D1058C7"/>
    <w:rsid w:val="70FB349B"/>
    <w:rsid w:val="720B63DF"/>
    <w:rsid w:val="7C3A4041"/>
    <w:rsid w:val="7C575E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name="toc 1"/>
    <w:lsdException w:unhideWhenUsed="0" w:uiPriority="0" w:name="toc 2"/>
    <w:lsdException w:unhideWhenUsed="0" w:uiPriority="0" w:name="toc 3"/>
    <w:lsdException w:unhideWhenUsed="0" w:uiPriority="0" w:name="toc 4"/>
    <w:lsdException w:unhideWhenUsed="0" w:uiPriority="0" w:name="toc 5"/>
    <w:lsdException w:unhideWhenUsed="0" w:uiPriority="0" w:name="toc 6"/>
    <w:lsdException w:unhideWhenUsed="0" w:uiPriority="0" w:name="toc 7"/>
    <w:lsdException w:unhideWhenUsed="0" w:uiPriority="0" w:name="toc 8"/>
    <w:lsdException w:unhideWhenUsed="0" w:uiPriority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22">
    <w:name w:val="Default Paragraph Font"/>
    <w:semiHidden/>
    <w:uiPriority w:val="0"/>
  </w:style>
  <w:style w:type="table" w:default="1" w:styleId="20">
    <w:name w:val="Normal Table"/>
    <w:semiHidden/>
    <w:uiPriority w:val="0"/>
    <w:tblPr>
      <w:tblStyle w:val="20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semiHidden/>
    <w:uiPriority w:val="0"/>
    <w:pPr>
      <w:ind w:left="1260"/>
      <w:jc w:val="left"/>
    </w:pPr>
    <w:rPr>
      <w:rFonts w:ascii="Times New Roman" w:hAnsi="Times New Roman"/>
      <w:sz w:val="18"/>
      <w:szCs w:val="18"/>
    </w:rPr>
  </w:style>
  <w:style w:type="paragraph" w:styleId="4">
    <w:name w:val="annotation text"/>
    <w:basedOn w:val="1"/>
    <w:link w:val="26"/>
    <w:semiHidden/>
    <w:uiPriority w:val="0"/>
    <w:pPr>
      <w:jc w:val="left"/>
    </w:pPr>
    <w:rPr>
      <w:kern w:val="0"/>
      <w:sz w:val="20"/>
    </w:rPr>
  </w:style>
  <w:style w:type="paragraph" w:styleId="5">
    <w:name w:val="Body Text"/>
    <w:basedOn w:val="1"/>
    <w:link w:val="27"/>
    <w:uiPriority w:val="0"/>
    <w:pPr>
      <w:snapToGrid w:val="0"/>
      <w:spacing w:line="300" w:lineRule="auto"/>
    </w:pPr>
    <w:rPr>
      <w:rFonts w:eastAsia="黑体"/>
      <w:kern w:val="0"/>
      <w:sz w:val="24"/>
      <w:szCs w:val="20"/>
    </w:rPr>
  </w:style>
  <w:style w:type="paragraph" w:styleId="6">
    <w:name w:val="toc 5"/>
    <w:basedOn w:val="1"/>
    <w:next w:val="1"/>
    <w:semiHidden/>
    <w:uiPriority w:val="0"/>
    <w:pPr>
      <w:ind w:left="840"/>
      <w:jc w:val="left"/>
    </w:pPr>
    <w:rPr>
      <w:rFonts w:ascii="Times New Roman" w:hAnsi="Times New Roman"/>
      <w:sz w:val="18"/>
      <w:szCs w:val="18"/>
    </w:rPr>
  </w:style>
  <w:style w:type="paragraph" w:styleId="7">
    <w:name w:val="toc 3"/>
    <w:basedOn w:val="1"/>
    <w:next w:val="1"/>
    <w:semiHidden/>
    <w:uiPriority w:val="0"/>
    <w:pPr>
      <w:ind w:left="420"/>
      <w:jc w:val="left"/>
    </w:pPr>
    <w:rPr>
      <w:rFonts w:ascii="Times New Roman" w:hAnsi="Times New Roman"/>
      <w:i/>
      <w:iCs/>
      <w:sz w:val="20"/>
      <w:szCs w:val="20"/>
    </w:rPr>
  </w:style>
  <w:style w:type="paragraph" w:styleId="8">
    <w:name w:val="toc 8"/>
    <w:basedOn w:val="1"/>
    <w:next w:val="1"/>
    <w:semiHidden/>
    <w:uiPriority w:val="0"/>
    <w:pPr>
      <w:ind w:left="1470"/>
      <w:jc w:val="left"/>
    </w:pPr>
    <w:rPr>
      <w:rFonts w:ascii="Times New Roman" w:hAnsi="Times New Roman"/>
      <w:sz w:val="18"/>
      <w:szCs w:val="18"/>
    </w:rPr>
  </w:style>
  <w:style w:type="paragraph" w:styleId="9">
    <w:name w:val="Date"/>
    <w:basedOn w:val="1"/>
    <w:next w:val="1"/>
    <w:uiPriority w:val="0"/>
    <w:pPr>
      <w:ind w:left="100" w:leftChars="2500"/>
    </w:pPr>
  </w:style>
  <w:style w:type="paragraph" w:styleId="10">
    <w:name w:val="Balloon Text"/>
    <w:basedOn w:val="1"/>
    <w:link w:val="28"/>
    <w:semiHidden/>
    <w:uiPriority w:val="0"/>
    <w:rPr>
      <w:sz w:val="18"/>
      <w:szCs w:val="18"/>
    </w:rPr>
  </w:style>
  <w:style w:type="paragraph" w:styleId="11">
    <w:name w:val="footer"/>
    <w:basedOn w:val="1"/>
    <w:link w:val="2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uiPriority w:val="0"/>
    <w:pPr>
      <w:spacing w:before="120" w:after="120"/>
      <w:jc w:val="left"/>
    </w:pPr>
    <w:rPr>
      <w:rFonts w:ascii="Times New Roman" w:hAnsi="Times New Roman"/>
      <w:b/>
      <w:bCs/>
      <w:caps/>
      <w:sz w:val="20"/>
      <w:szCs w:val="20"/>
    </w:rPr>
  </w:style>
  <w:style w:type="paragraph" w:styleId="14">
    <w:name w:val="toc 4"/>
    <w:basedOn w:val="1"/>
    <w:next w:val="1"/>
    <w:semiHidden/>
    <w:uiPriority w:val="0"/>
    <w:pPr>
      <w:ind w:left="630"/>
      <w:jc w:val="left"/>
    </w:pPr>
    <w:rPr>
      <w:rFonts w:ascii="Times New Roman" w:hAnsi="Times New Roman"/>
      <w:sz w:val="18"/>
      <w:szCs w:val="18"/>
    </w:rPr>
  </w:style>
  <w:style w:type="paragraph" w:styleId="15">
    <w:name w:val="toc 6"/>
    <w:basedOn w:val="1"/>
    <w:next w:val="1"/>
    <w:semiHidden/>
    <w:uiPriority w:val="0"/>
    <w:pPr>
      <w:ind w:left="1050"/>
      <w:jc w:val="left"/>
    </w:pPr>
    <w:rPr>
      <w:rFonts w:ascii="Times New Roman" w:hAnsi="Times New Roman"/>
      <w:sz w:val="18"/>
      <w:szCs w:val="18"/>
    </w:rPr>
  </w:style>
  <w:style w:type="paragraph" w:styleId="16">
    <w:name w:val="toc 2"/>
    <w:basedOn w:val="1"/>
    <w:next w:val="1"/>
    <w:semiHidden/>
    <w:uiPriority w:val="0"/>
    <w:pPr>
      <w:ind w:left="210"/>
      <w:jc w:val="left"/>
    </w:pPr>
    <w:rPr>
      <w:rFonts w:ascii="Times New Roman" w:hAnsi="Times New Roman"/>
      <w:smallCaps/>
      <w:sz w:val="20"/>
      <w:szCs w:val="20"/>
    </w:rPr>
  </w:style>
  <w:style w:type="paragraph" w:styleId="17">
    <w:name w:val="toc 9"/>
    <w:basedOn w:val="1"/>
    <w:next w:val="1"/>
    <w:semiHidden/>
    <w:uiPriority w:val="0"/>
    <w:pPr>
      <w:ind w:left="1680"/>
      <w:jc w:val="left"/>
    </w:pPr>
    <w:rPr>
      <w:rFonts w:ascii="Times New Roman" w:hAnsi="Times New Roman"/>
      <w:sz w:val="18"/>
      <w:szCs w:val="18"/>
    </w:rPr>
  </w:style>
  <w:style w:type="paragraph" w:styleId="18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styleId="19">
    <w:name w:val="annotation subject"/>
    <w:basedOn w:val="4"/>
    <w:next w:val="4"/>
    <w:link w:val="31"/>
    <w:semiHidden/>
    <w:uiPriority w:val="0"/>
    <w:rPr>
      <w:b/>
      <w:bCs/>
    </w:rPr>
  </w:style>
  <w:style w:type="table" w:styleId="21">
    <w:name w:val="Table Grid"/>
    <w:basedOn w:val="20"/>
    <w:uiPriority w:val="0"/>
    <w:pPr>
      <w:widowControl w:val="0"/>
      <w:jc w:val="both"/>
    </w:pPr>
    <w:tblPr>
      <w:tblStyle w:val="2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3">
    <w:name w:val="page number"/>
    <w:basedOn w:val="22"/>
    <w:uiPriority w:val="0"/>
  </w:style>
  <w:style w:type="character" w:styleId="24">
    <w:name w:val="Emphasis"/>
    <w:basedOn w:val="22"/>
    <w:qFormat/>
    <w:uiPriority w:val="20"/>
    <w:rPr>
      <w:i/>
      <w:iCs/>
    </w:rPr>
  </w:style>
  <w:style w:type="character" w:styleId="25">
    <w:name w:val="annotation reference"/>
    <w:basedOn w:val="22"/>
    <w:semiHidden/>
    <w:uiPriority w:val="0"/>
    <w:rPr>
      <w:sz w:val="21"/>
    </w:rPr>
  </w:style>
  <w:style w:type="character" w:customStyle="1" w:styleId="26">
    <w:name w:val="批注文字 Char"/>
    <w:link w:val="4"/>
    <w:semiHidden/>
    <w:locked/>
    <w:uiPriority w:val="0"/>
    <w:rPr>
      <w:rFonts w:ascii="Calibri" w:hAnsi="Calibri" w:eastAsia="宋体"/>
      <w:szCs w:val="24"/>
      <w:lang w:val="en-US" w:eastAsia="zh-CN" w:bidi="ar-SA"/>
    </w:rPr>
  </w:style>
  <w:style w:type="character" w:customStyle="1" w:styleId="27">
    <w:name w:val="正文文本 Char"/>
    <w:link w:val="5"/>
    <w:semiHidden/>
    <w:locked/>
    <w:uiPriority w:val="0"/>
    <w:rPr>
      <w:rFonts w:ascii="Calibri" w:hAnsi="Calibri" w:eastAsia="黑体"/>
      <w:sz w:val="24"/>
      <w:lang w:val="en-US" w:eastAsia="zh-CN" w:bidi="ar-SA"/>
    </w:rPr>
  </w:style>
  <w:style w:type="character" w:customStyle="1" w:styleId="28">
    <w:name w:val="批注框文本 Char"/>
    <w:link w:val="10"/>
    <w:semiHidden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29">
    <w:name w:val="页脚 Char"/>
    <w:link w:val="11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30">
    <w:name w:val="页眉 Char"/>
    <w:link w:val="12"/>
    <w:locked/>
    <w:uiPriority w:val="0"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customStyle="1" w:styleId="31">
    <w:name w:val="批注主题 Char"/>
    <w:link w:val="19"/>
    <w:semiHidden/>
    <w:locked/>
    <w:uiPriority w:val="0"/>
    <w:rPr>
      <w:rFonts w:ascii="Calibri" w:hAnsi="Calibri" w:eastAsia="宋体"/>
      <w:b/>
      <w:bCs/>
      <w:szCs w:val="24"/>
      <w:lang w:val="en-US" w:eastAsia="zh-CN" w:bidi="ar-SA"/>
    </w:rPr>
  </w:style>
  <w:style w:type="character" w:customStyle="1" w:styleId="32">
    <w:name w:val="fontstyle01"/>
    <w:basedOn w:val="22"/>
    <w:uiPriority w:val="0"/>
    <w:rPr>
      <w:rFonts w:hint="default" w:ascii="仿宋" w:hAnsi="仿宋"/>
      <w:color w:val="000000"/>
      <w:sz w:val="32"/>
      <w:szCs w:val="32"/>
    </w:rPr>
  </w:style>
  <w:style w:type="paragraph" w:customStyle="1" w:styleId="33">
    <w:name w:val="List Paragraph"/>
    <w:basedOn w:val="1"/>
    <w:uiPriority w:val="0"/>
    <w:pPr>
      <w:ind w:firstLine="420" w:firstLineChars="200"/>
    </w:pPr>
  </w:style>
  <w:style w:type="paragraph" w:customStyle="1" w:styleId="34">
    <w:name w:val="标准"/>
    <w:basedOn w:val="1"/>
    <w:uiPriority w:val="0"/>
    <w:pPr>
      <w:widowControl/>
      <w:adjustRightInd w:val="0"/>
      <w:spacing w:before="120" w:after="120" w:line="312" w:lineRule="atLeast"/>
      <w:jc w:val="left"/>
    </w:pPr>
    <w:rPr>
      <w:rFonts w:ascii="宋体" w:hAnsi="Times New Roman"/>
      <w:kern w:val="0"/>
      <w:sz w:val="2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1232</Words>
  <Characters>1261</Characters>
  <Lines>6</Lines>
  <Paragraphs>1</Paragraphs>
  <TotalTime>0</TotalTime>
  <ScaleCrop>false</ScaleCrop>
  <LinksUpToDate>false</LinksUpToDate>
  <CharactersWithSpaces>1275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2020-10-27T09:16:00Z</dcterms:created>
  <dc:creator>Administrator</dc:creator>
  <cp:lastModifiedBy>陈珂</cp:lastModifiedBy>
  <cp:lastPrinted>2021-12-06T01:42:21Z</cp:lastPrinted>
  <dcterms:modified xsi:type="dcterms:W3CDTF">2023-01-03T07:34:59Z</dcterms:modified>
  <dc:title> 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22BC4DCF32EE4B2994FD72B3290633A3</vt:lpwstr>
  </property>
</Properties>
</file>