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855B8">
      <w:pPr>
        <w:spacing w:before="0" w:after="240" w:line="360" w:lineRule="auto"/>
        <w:jc w:val="center"/>
        <w:rPr>
          <w:rFonts w:ascii="黑体" w:hAnsi="黑体" w:eastAsia="黑体" w:cs="黑体"/>
          <w:b/>
          <w:bCs/>
          <w:sz w:val="36"/>
          <w:szCs w:val="36"/>
        </w:rPr>
      </w:pPr>
      <w:r>
        <w:rPr>
          <w:rFonts w:ascii="黑体" w:hAnsi="黑体" w:eastAsia="黑体" w:cs="黑体"/>
          <w:b/>
          <w:bCs/>
          <w:sz w:val="36"/>
          <w:szCs w:val="36"/>
        </w:rPr>
        <w:t>2026级***全日制专业</w:t>
      </w:r>
      <w:r>
        <w:rPr>
          <w:rFonts w:hint="eastAsia" w:ascii="黑体" w:hAnsi="黑体" w:eastAsia="黑体" w:cs="黑体"/>
          <w:b/>
          <w:bCs/>
          <w:sz w:val="36"/>
          <w:szCs w:val="36"/>
          <w:lang w:val="en-US" w:eastAsia="zh-CN"/>
        </w:rPr>
        <w:t>学位硕/博士</w:t>
      </w:r>
      <w:r>
        <w:rPr>
          <w:rFonts w:ascii="黑体" w:hAnsi="黑体" w:eastAsia="黑体" w:cs="黑体"/>
          <w:b/>
          <w:bCs/>
          <w:sz w:val="36"/>
          <w:szCs w:val="36"/>
        </w:rPr>
        <w:t>研究生</w:t>
      </w:r>
    </w:p>
    <w:p w14:paraId="458D2380">
      <w:pPr>
        <w:spacing w:before="0" w:after="240" w:line="360" w:lineRule="auto"/>
        <w:jc w:val="center"/>
        <w:rPr>
          <w:rFonts w:hint="eastAsia" w:eastAsia="黑体"/>
          <w:lang w:val="en-US" w:eastAsia="zh-CN"/>
        </w:rPr>
      </w:pPr>
      <w:r>
        <w:rPr>
          <w:rFonts w:ascii="黑体" w:hAnsi="黑体" w:eastAsia="黑体" w:cs="黑体"/>
          <w:b/>
          <w:bCs/>
          <w:sz w:val="36"/>
          <w:szCs w:val="36"/>
        </w:rPr>
        <w:t>培养方案</w:t>
      </w:r>
      <w:r>
        <w:rPr>
          <w:rFonts w:hint="eastAsia" w:ascii="黑体" w:hAnsi="黑体" w:eastAsia="黑体" w:cs="黑体"/>
          <w:b/>
          <w:bCs/>
          <w:sz w:val="36"/>
          <w:szCs w:val="36"/>
          <w:lang w:val="en-US" w:eastAsia="zh-CN"/>
        </w:rPr>
        <w:t xml:space="preserve"> </w:t>
      </w:r>
    </w:p>
    <w:p w14:paraId="7B2204EA">
      <w:pPr>
        <w:spacing w:before="0" w:after="120" w:line="360" w:lineRule="auto"/>
        <w:jc w:val="center"/>
        <w:rPr>
          <w:rFonts w:ascii="宋体" w:hAnsi="宋体" w:eastAsia="宋体" w:cs="宋体"/>
          <w:b w:val="0"/>
          <w:bCs w:val="0"/>
          <w:sz w:val="24"/>
          <w:szCs w:val="24"/>
        </w:rPr>
      </w:pPr>
      <w:r>
        <w:rPr>
          <w:rFonts w:ascii="宋体" w:hAnsi="宋体" w:eastAsia="宋体" w:cs="宋体"/>
          <w:b w:val="0"/>
          <w:bCs w:val="0"/>
          <w:sz w:val="24"/>
          <w:szCs w:val="24"/>
        </w:rPr>
        <w:t>（</w:t>
      </w:r>
      <w:r>
        <w:rPr>
          <w:rFonts w:hint="eastAsia" w:cs="宋体"/>
          <w:b w:val="0"/>
          <w:bCs w:val="0"/>
          <w:sz w:val="24"/>
          <w:szCs w:val="24"/>
          <w:lang w:val="en-US" w:eastAsia="zh-CN"/>
        </w:rPr>
        <w:t>专业</w:t>
      </w:r>
      <w:r>
        <w:rPr>
          <w:rFonts w:ascii="宋体" w:hAnsi="宋体" w:eastAsia="宋体" w:cs="宋体"/>
          <w:b w:val="0"/>
          <w:bCs w:val="0"/>
          <w:sz w:val="24"/>
          <w:szCs w:val="24"/>
        </w:rPr>
        <w:t>类别名称   代码   ）</w:t>
      </w:r>
    </w:p>
    <w:p w14:paraId="2C583EE1">
      <w:pPr>
        <w:spacing w:before="0" w:after="0"/>
        <w:ind w:left="0" w:leftChars="0" w:firstLine="0" w:firstLineChars="0"/>
      </w:pPr>
    </w:p>
    <w:p w14:paraId="7993E4D4">
      <w:pPr>
        <w:spacing w:before="240" w:after="120" w:line="360" w:lineRule="auto"/>
        <w:ind w:firstLine="0"/>
        <w:jc w:val="left"/>
      </w:pPr>
      <w:r>
        <w:rPr>
          <w:rFonts w:ascii="黑体" w:hAnsi="黑体" w:eastAsia="黑体" w:cs="黑体"/>
          <w:b/>
          <w:bCs/>
          <w:sz w:val="32"/>
          <w:szCs w:val="32"/>
        </w:rPr>
        <w:t>一、</w:t>
      </w:r>
      <w:r>
        <w:rPr>
          <w:rFonts w:hint="eastAsia" w:ascii="黑体" w:hAnsi="黑体" w:eastAsia="黑体" w:cs="黑体"/>
          <w:b/>
          <w:bCs/>
          <w:sz w:val="32"/>
          <w:szCs w:val="32"/>
          <w:lang w:val="en-US" w:eastAsia="zh-CN"/>
        </w:rPr>
        <w:t>专业类别</w:t>
      </w:r>
      <w:r>
        <w:rPr>
          <w:rFonts w:ascii="黑体" w:hAnsi="黑体" w:eastAsia="黑体" w:cs="黑体"/>
          <w:b/>
          <w:bCs/>
          <w:sz w:val="32"/>
          <w:szCs w:val="32"/>
        </w:rPr>
        <w:t>简介</w:t>
      </w:r>
    </w:p>
    <w:p w14:paraId="27A2A2FB">
      <w:pPr>
        <w:spacing w:before="0" w:after="60" w:line="360" w:lineRule="auto"/>
        <w:ind w:firstLine="480"/>
        <w:jc w:val="both"/>
      </w:pPr>
      <w:r>
        <w:rPr>
          <w:rFonts w:ascii="宋体" w:hAnsi="宋体" w:eastAsia="宋体" w:cs="宋体"/>
          <w:b w:val="0"/>
          <w:bCs w:val="0"/>
          <w:sz w:val="24"/>
          <w:szCs w:val="24"/>
        </w:rPr>
        <w:t>（概述本专业类别的发展历程、特色优势、师资力量、科研平台、教学成果、就业去向等，不少于500字。）</w:t>
      </w:r>
    </w:p>
    <w:p w14:paraId="28C33A35">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应涵盖以下要素：①专业类别发展历程与建设基础；②特色优势与社会服务能力；③师资队伍结构与规模（含行业导师队伍情况）；④</w:t>
      </w:r>
      <w:r>
        <w:rPr>
          <w:rFonts w:hint="eastAsia" w:ascii="仿宋" w:hAnsi="仿宋" w:eastAsia="仿宋" w:cs="仿宋"/>
          <w:color w:val="404040"/>
          <w:sz w:val="21"/>
          <w:szCs w:val="21"/>
          <w:lang w:val="en-US" w:eastAsia="zh-CN"/>
        </w:rPr>
        <w:t>科研</w:t>
      </w:r>
      <w:r>
        <w:rPr>
          <w:rFonts w:ascii="仿宋" w:hAnsi="仿宋" w:eastAsia="仿宋" w:cs="仿宋"/>
          <w:color w:val="404040"/>
          <w:sz w:val="21"/>
          <w:szCs w:val="21"/>
        </w:rPr>
        <w:t>平台与实践基地建设情况；⑤近年教学科研成果；⑥毕业生就业去向与社会评价。内容应真实准确、数据翔实，体现专业学位的职业导向性和应用型人才培养特色。</w:t>
      </w:r>
    </w:p>
    <w:p w14:paraId="32DB5AAF">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8080"/>
          <w:sz w:val="21"/>
          <w:szCs w:val="21"/>
        </w:rPr>
        <w:t>【撰写体例】</w:t>
      </w:r>
      <w:r>
        <w:rPr>
          <w:rFonts w:ascii="仿宋" w:hAnsi="仿宋" w:eastAsia="仿宋" w:cs="仿宋"/>
          <w:color w:val="404040"/>
          <w:sz w:val="21"/>
          <w:szCs w:val="21"/>
        </w:rPr>
        <w:t>示例：本专业学位类别依托南京中医药大学XX学科（省级优势学科/重点学科），面向XX行业领域，培养……。现有校内导师XX人，行业导师XX人，建有省级/校级联合培养基地XX个……。近五年获省部级以上教学/科研成果XX项……。毕业生主要面向XX领域就业。</w:t>
      </w:r>
    </w:p>
    <w:p w14:paraId="0447A91E">
      <w:pPr>
        <w:spacing w:before="40" w:after="80" w:line="320" w:lineRule="auto"/>
        <w:ind w:firstLine="480"/>
        <w:jc w:val="both"/>
        <w:rPr>
          <w:rFonts w:ascii="仿宋" w:hAnsi="仿宋" w:eastAsia="仿宋" w:cs="仿宋"/>
          <w:color w:val="404040"/>
          <w:sz w:val="21"/>
          <w:szCs w:val="21"/>
        </w:rPr>
      </w:pPr>
    </w:p>
    <w:p w14:paraId="79059673">
      <w:pPr>
        <w:spacing w:before="240" w:after="120" w:line="360" w:lineRule="auto"/>
        <w:ind w:firstLine="0"/>
        <w:jc w:val="left"/>
      </w:pPr>
      <w:r>
        <w:rPr>
          <w:rFonts w:ascii="黑体" w:hAnsi="黑体" w:eastAsia="黑体" w:cs="黑体"/>
          <w:b/>
          <w:bCs/>
          <w:sz w:val="32"/>
          <w:szCs w:val="32"/>
        </w:rPr>
        <w:t>二、培养目标</w:t>
      </w:r>
    </w:p>
    <w:p w14:paraId="2DA4D5AF">
      <w:pPr>
        <w:spacing w:before="0" w:after="60" w:line="360" w:lineRule="auto"/>
        <w:ind w:firstLine="480"/>
        <w:jc w:val="both"/>
      </w:pPr>
      <w:r>
        <w:rPr>
          <w:rFonts w:ascii="宋体" w:hAnsi="宋体" w:eastAsia="宋体" w:cs="宋体"/>
          <w:b w:val="0"/>
          <w:bCs w:val="0"/>
          <w:sz w:val="24"/>
          <w:szCs w:val="24"/>
        </w:rPr>
        <w:t>（依据专业学位总体培养目标，结合本专业类别/领域实际，明确培养定位、总体目标和具体要求。）</w:t>
      </w:r>
    </w:p>
    <w:p w14:paraId="36D3A44B">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应包含以下内容：①总体目标——培养掌握坚实基础理论和宽广专门知识、具有较强专业能力和职业素养、能创造性地从事实际工作的高层次应用型专门人才；②具体要求——从思想政治素质、专业知识结构、专业实践能力、职业素养与团队协作、外国语能力等五个方面分条目表述；③应体现本专业类别的职业导向和行业特色，与学术学位培养目标有明确区分。</w:t>
      </w:r>
    </w:p>
    <w:p w14:paraId="1D87D42F">
      <w:pPr>
        <w:spacing w:before="40" w:after="80" w:line="320" w:lineRule="auto"/>
        <w:ind w:firstLine="480"/>
        <w:jc w:val="both"/>
      </w:pPr>
      <w:r>
        <w:rPr>
          <w:rFonts w:ascii="黑体" w:hAnsi="黑体" w:eastAsia="黑体" w:cs="黑体"/>
          <w:b/>
          <w:bCs/>
          <w:color w:val="008080"/>
          <w:sz w:val="21"/>
          <w:szCs w:val="21"/>
        </w:rPr>
        <w:t>【撰写体例】</w:t>
      </w:r>
      <w:r>
        <w:rPr>
          <w:rFonts w:ascii="仿宋" w:hAnsi="仿宋" w:eastAsia="仿宋" w:cs="仿宋"/>
          <w:color w:val="404040"/>
          <w:sz w:val="21"/>
          <w:szCs w:val="21"/>
        </w:rPr>
        <w:t>示例：培养具备良好的政治思想素质和职业道德修养，掌握本专业领域坚实的基础理论和宽广的专门知识，具有较强的专业能力和职业素养，能够创造性地从事XX领域实际工作，具备国际视野和社会责任感的高层次应用型专门人才。具体要求：（一）掌握马克思主义基本原理……；（二）掌握本专业领域坚实的基础理论和宽广的专门知识……；（三）具有较强的专业能力和职业素养……；（四）具有良好的沟通协调能力……；（五）熟练掌握一门外国语……。</w:t>
      </w:r>
    </w:p>
    <w:p w14:paraId="4AC0854F">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70C0"/>
          <w:sz w:val="21"/>
          <w:szCs w:val="21"/>
        </w:rPr>
        <w:t>【参考文件】</w:t>
      </w:r>
      <w:r>
        <w:rPr>
          <w:rFonts w:ascii="仿宋" w:hAnsi="仿宋" w:eastAsia="仿宋" w:cs="仿宋"/>
          <w:color w:val="404040"/>
          <w:sz w:val="21"/>
          <w:szCs w:val="21"/>
        </w:rPr>
        <w:t>1.《</w:t>
      </w:r>
      <w:r>
        <w:rPr>
          <w:rFonts w:hint="eastAsia" w:ascii="仿宋" w:hAnsi="仿宋" w:eastAsia="仿宋" w:cs="仿宋"/>
          <w:color w:val="404040"/>
          <w:sz w:val="21"/>
          <w:szCs w:val="21"/>
          <w:lang w:eastAsia="zh-CN"/>
        </w:rPr>
        <w:t>南京中医药大学专业学位研究生培养方案制（修）定指导意见</w:t>
      </w:r>
      <w:r>
        <w:rPr>
          <w:rFonts w:ascii="仿宋" w:hAnsi="仿宋" w:eastAsia="仿宋" w:cs="仿宋"/>
          <w:color w:val="404040"/>
          <w:sz w:val="21"/>
          <w:szCs w:val="21"/>
        </w:rPr>
        <w:t>》2.教育部专业学位研究生教育指导委员会各专业类别指导性培养方案；3.《专业学位研究生教育发展方案（2020-2025）》</w:t>
      </w:r>
      <w:r>
        <w:rPr>
          <w:rFonts w:hint="eastAsia" w:ascii="仿宋" w:hAnsi="仿宋" w:eastAsia="仿宋" w:cs="仿宋"/>
          <w:color w:val="404040"/>
          <w:sz w:val="21"/>
          <w:szCs w:val="21"/>
        </w:rPr>
        <w:t>（学位〔2020〕20号）</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4</w:t>
      </w:r>
      <w:r>
        <w:rPr>
          <w:rFonts w:ascii="仿宋" w:hAnsi="仿宋" w:eastAsia="仿宋" w:cs="仿宋"/>
          <w:color w:val="404040"/>
          <w:sz w:val="21"/>
          <w:szCs w:val="21"/>
        </w:rPr>
        <w:t>.《关于深入推进学术学位与专业学位教育分类发展的意见》（教研〔2023〕2号）。</w:t>
      </w:r>
    </w:p>
    <w:p w14:paraId="5A95A92A">
      <w:pPr>
        <w:spacing w:before="40" w:after="80" w:line="320" w:lineRule="auto"/>
        <w:ind w:firstLine="480"/>
        <w:jc w:val="both"/>
        <w:rPr>
          <w:rFonts w:ascii="仿宋" w:hAnsi="仿宋" w:eastAsia="仿宋" w:cs="仿宋"/>
          <w:color w:val="404040"/>
          <w:sz w:val="21"/>
          <w:szCs w:val="21"/>
        </w:rPr>
      </w:pPr>
    </w:p>
    <w:p w14:paraId="2ADBE202">
      <w:pPr>
        <w:spacing w:before="240" w:after="120" w:line="360" w:lineRule="auto"/>
        <w:ind w:firstLine="0"/>
        <w:jc w:val="left"/>
        <w:rPr>
          <w:rFonts w:hint="default" w:eastAsia="黑体"/>
          <w:lang w:val="en-US" w:eastAsia="zh-CN"/>
        </w:rPr>
      </w:pPr>
      <w:r>
        <w:rPr>
          <w:rFonts w:ascii="黑体" w:hAnsi="黑体" w:eastAsia="黑体" w:cs="黑体"/>
          <w:b/>
          <w:bCs/>
          <w:sz w:val="32"/>
          <w:szCs w:val="32"/>
        </w:rPr>
        <w:t>三、</w:t>
      </w:r>
      <w:r>
        <w:rPr>
          <w:rFonts w:hint="eastAsia" w:ascii="黑体" w:hAnsi="黑体" w:eastAsia="黑体" w:cs="黑体"/>
          <w:b/>
          <w:bCs/>
          <w:sz w:val="32"/>
          <w:szCs w:val="32"/>
          <w:lang w:val="en-US" w:eastAsia="zh-CN"/>
        </w:rPr>
        <w:t>专业领域</w:t>
      </w:r>
    </w:p>
    <w:p w14:paraId="22DDAE42">
      <w:pPr>
        <w:spacing w:before="0" w:after="60" w:line="360" w:lineRule="auto"/>
        <w:ind w:firstLine="480"/>
        <w:jc w:val="both"/>
      </w:pPr>
      <w:r>
        <w:rPr>
          <w:rFonts w:ascii="宋体" w:hAnsi="宋体" w:eastAsia="宋体" w:cs="宋体"/>
          <w:b w:val="0"/>
          <w:bCs w:val="0"/>
          <w:sz w:val="24"/>
          <w:szCs w:val="24"/>
        </w:rPr>
        <w:t>（列出本专业类别下设的主要</w:t>
      </w:r>
      <w:r>
        <w:rPr>
          <w:rFonts w:hint="eastAsia" w:cs="宋体"/>
          <w:b w:val="0"/>
          <w:bCs w:val="0"/>
          <w:sz w:val="24"/>
          <w:szCs w:val="24"/>
          <w:lang w:val="en-US" w:eastAsia="zh-CN"/>
        </w:rPr>
        <w:t>专业领域</w:t>
      </w:r>
      <w:r>
        <w:rPr>
          <w:rFonts w:ascii="宋体" w:hAnsi="宋体" w:eastAsia="宋体" w:cs="宋体"/>
          <w:b w:val="0"/>
          <w:bCs w:val="0"/>
          <w:sz w:val="24"/>
          <w:szCs w:val="24"/>
        </w:rPr>
        <w:t>，说明各</w:t>
      </w:r>
      <w:r>
        <w:rPr>
          <w:rFonts w:hint="eastAsia" w:cs="宋体"/>
          <w:b w:val="0"/>
          <w:bCs w:val="0"/>
          <w:sz w:val="24"/>
          <w:szCs w:val="24"/>
          <w:lang w:val="en-US" w:eastAsia="zh-CN"/>
        </w:rPr>
        <w:t>领域</w:t>
      </w:r>
      <w:r>
        <w:rPr>
          <w:rFonts w:ascii="宋体" w:hAnsi="宋体" w:eastAsia="宋体" w:cs="宋体"/>
          <w:b w:val="0"/>
          <w:bCs w:val="0"/>
          <w:sz w:val="24"/>
          <w:szCs w:val="24"/>
        </w:rPr>
        <w:t>的研究内容、特色与优势。）</w:t>
      </w:r>
    </w:p>
    <w:p w14:paraId="5D43F35F">
      <w:pPr>
        <w:spacing w:before="60" w:after="80" w:line="320" w:lineRule="auto"/>
        <w:ind w:firstLine="480"/>
        <w:jc w:val="both"/>
        <w:rPr>
          <w:rFonts w:hint="eastAsia" w:eastAsia="仿宋"/>
          <w:lang w:eastAsia="zh-CN"/>
        </w:rPr>
      </w:pPr>
      <w:r>
        <w:rPr>
          <w:rFonts w:ascii="黑体" w:hAnsi="黑体" w:eastAsia="黑体" w:cs="黑体"/>
          <w:b/>
          <w:bCs/>
          <w:color w:val="C00000"/>
          <w:sz w:val="21"/>
          <w:szCs w:val="21"/>
        </w:rPr>
        <w:t>【撰写要求】</w:t>
      </w:r>
      <w:r>
        <w:rPr>
          <w:rFonts w:ascii="仿宋" w:hAnsi="仿宋" w:eastAsia="仿宋" w:cs="仿宋"/>
          <w:color w:val="404040"/>
          <w:sz w:val="21"/>
          <w:szCs w:val="21"/>
        </w:rPr>
        <w:t>①</w:t>
      </w:r>
      <w:r>
        <w:rPr>
          <w:rFonts w:hint="eastAsia" w:ascii="仿宋" w:hAnsi="仿宋" w:eastAsia="仿宋" w:cs="仿宋"/>
          <w:color w:val="404040"/>
          <w:sz w:val="21"/>
          <w:szCs w:val="21"/>
          <w:lang w:val="en-US" w:eastAsia="zh-CN"/>
        </w:rPr>
        <w:t>专业领域</w:t>
      </w:r>
      <w:r>
        <w:rPr>
          <w:rFonts w:ascii="仿宋" w:hAnsi="仿宋" w:eastAsia="仿宋" w:cs="仿宋"/>
          <w:color w:val="404040"/>
          <w:sz w:val="21"/>
          <w:szCs w:val="21"/>
        </w:rPr>
        <w:t>设置应与国务院学位委员会学科专业目录中的专业领域方向一致或相符；②每个</w:t>
      </w:r>
      <w:r>
        <w:rPr>
          <w:rFonts w:hint="eastAsia" w:ascii="仿宋" w:hAnsi="仿宋" w:eastAsia="仿宋" w:cs="仿宋"/>
          <w:color w:val="404040"/>
          <w:sz w:val="21"/>
          <w:szCs w:val="21"/>
          <w:lang w:val="en-US" w:eastAsia="zh-CN"/>
        </w:rPr>
        <w:t>领域</w:t>
      </w:r>
      <w:r>
        <w:rPr>
          <w:rFonts w:ascii="仿宋" w:hAnsi="仿宋" w:eastAsia="仿宋" w:cs="仿宋"/>
          <w:color w:val="404040"/>
          <w:sz w:val="21"/>
          <w:szCs w:val="21"/>
        </w:rPr>
        <w:t>应有明确的研究内容描述（不少于100字/方向），突出应用性和职业导向性；③应说明各方向的特色优势、导师队伍、主要实践基地等支撑条件</w:t>
      </w:r>
      <w:r>
        <w:rPr>
          <w:rFonts w:hint="eastAsia" w:ascii="仿宋" w:hAnsi="仿宋" w:eastAsia="仿宋" w:cs="仿宋"/>
          <w:color w:val="404040"/>
          <w:sz w:val="21"/>
          <w:szCs w:val="21"/>
          <w:lang w:eastAsia="zh-CN"/>
        </w:rPr>
        <w:t>。</w:t>
      </w:r>
    </w:p>
    <w:p w14:paraId="612C8B9C">
      <w:pPr>
        <w:spacing w:before="40" w:after="80" w:line="320" w:lineRule="auto"/>
        <w:ind w:firstLine="480"/>
        <w:jc w:val="both"/>
        <w:rPr>
          <w:rFonts w:hint="eastAsia" w:ascii="仿宋" w:hAnsi="仿宋" w:eastAsia="仿宋" w:cs="仿宋"/>
          <w:color w:val="404040"/>
          <w:sz w:val="21"/>
          <w:szCs w:val="21"/>
          <w:lang w:val="en-US" w:eastAsia="zh-CN"/>
        </w:rPr>
      </w:pPr>
      <w:r>
        <w:rPr>
          <w:rFonts w:ascii="黑体" w:hAnsi="黑体" w:eastAsia="黑体" w:cs="黑体"/>
          <w:b/>
          <w:bCs/>
          <w:color w:val="008080"/>
          <w:sz w:val="21"/>
          <w:szCs w:val="21"/>
        </w:rPr>
        <w:t>【撰写体例】</w:t>
      </w:r>
      <w:r>
        <w:rPr>
          <w:rFonts w:ascii="仿宋" w:hAnsi="仿宋" w:eastAsia="仿宋" w:cs="仿宋"/>
          <w:color w:val="404040"/>
          <w:sz w:val="21"/>
          <w:szCs w:val="21"/>
        </w:rPr>
        <w:t>示例：
</w:t>
      </w:r>
      <w:r>
        <w:rPr>
          <w:rFonts w:hint="eastAsia" w:ascii="仿宋" w:hAnsi="仿宋" w:eastAsia="仿宋" w:cs="仿宋"/>
          <w:color w:val="404040"/>
          <w:sz w:val="21"/>
          <w:szCs w:val="21"/>
          <w:lang w:val="en-US" w:eastAsia="zh-CN"/>
        </w:rPr>
        <w:t>专业领域</w:t>
      </w:r>
      <w:r>
        <w:rPr>
          <w:rFonts w:ascii="仿宋" w:hAnsi="仿宋" w:eastAsia="仿宋" w:cs="仿宋"/>
          <w:color w:val="404040"/>
          <w:sz w:val="21"/>
          <w:szCs w:val="21"/>
        </w:rPr>
        <w:t>一：XX（</w:t>
      </w:r>
      <w:r>
        <w:rPr>
          <w:rFonts w:hint="eastAsia" w:ascii="仿宋" w:hAnsi="仿宋" w:eastAsia="仿宋" w:cs="仿宋"/>
          <w:color w:val="404040"/>
          <w:sz w:val="21"/>
          <w:szCs w:val="21"/>
          <w:lang w:val="en-US" w:eastAsia="zh-CN"/>
        </w:rPr>
        <w:t>领域</w:t>
      </w:r>
      <w:r>
        <w:rPr>
          <w:rFonts w:ascii="仿宋" w:hAnsi="仿宋" w:eastAsia="仿宋" w:cs="仿宋"/>
          <w:color w:val="404040"/>
          <w:sz w:val="21"/>
          <w:szCs w:val="21"/>
        </w:rPr>
        <w:t>名称</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代码</w:t>
      </w:r>
      <w:r>
        <w:rPr>
          <w:rFonts w:ascii="仿宋" w:hAnsi="仿宋" w:eastAsia="仿宋" w:cs="仿宋"/>
          <w:color w:val="404040"/>
          <w:sz w:val="21"/>
          <w:szCs w:val="21"/>
        </w:rPr>
        <w:t>）
主要研究/实践内容：……。特色优势：……。导师队伍：校内导师XX人，行业导师XX人。实践基地：XX基地（省级/校级）。</w:t>
      </w:r>
      <w:r>
        <w:rPr>
          <w:rFonts w:hint="eastAsia" w:ascii="仿宋" w:hAnsi="仿宋" w:eastAsia="仿宋" w:cs="仿宋"/>
          <w:color w:val="404040"/>
          <w:sz w:val="21"/>
          <w:szCs w:val="21"/>
          <w:lang w:val="en-US" w:eastAsia="zh-CN"/>
        </w:rPr>
        <w:t xml:space="preserve">  </w:t>
      </w:r>
    </w:p>
    <w:p w14:paraId="5E26CCC3">
      <w:pPr>
        <w:spacing w:before="40" w:after="80" w:line="320" w:lineRule="auto"/>
        <w:ind w:firstLine="480"/>
        <w:jc w:val="both"/>
      </w:pPr>
      <w:r>
        <w:rPr>
          <w:rFonts w:hint="eastAsia" w:ascii="仿宋" w:hAnsi="仿宋" w:eastAsia="仿宋" w:cs="仿宋"/>
          <w:color w:val="404040"/>
          <w:sz w:val="21"/>
          <w:szCs w:val="21"/>
          <w:lang w:val="en-US" w:eastAsia="zh-CN"/>
        </w:rPr>
        <w:t xml:space="preserve">             </w:t>
      </w:r>
    </w:p>
    <w:p w14:paraId="0852D732">
      <w:pPr>
        <w:spacing w:before="240" w:after="120" w:line="360" w:lineRule="auto"/>
        <w:ind w:firstLine="0"/>
        <w:jc w:val="left"/>
      </w:pPr>
      <w:r>
        <w:rPr>
          <w:rFonts w:hint="eastAsia" w:ascii="黑体" w:hAnsi="黑体" w:eastAsia="黑体" w:cs="黑体"/>
          <w:b/>
          <w:bCs/>
          <w:sz w:val="32"/>
          <w:szCs w:val="32"/>
          <w:lang w:val="en-US" w:eastAsia="zh-CN"/>
        </w:rPr>
        <w:t>四</w:t>
      </w:r>
      <w:r>
        <w:rPr>
          <w:rFonts w:ascii="黑体" w:hAnsi="黑体" w:eastAsia="黑体" w:cs="黑体"/>
          <w:b/>
          <w:bCs/>
          <w:sz w:val="32"/>
          <w:szCs w:val="32"/>
        </w:rPr>
        <w:t>、培养方式</w:t>
      </w:r>
    </w:p>
    <w:p w14:paraId="38FBD7B3">
      <w:pPr>
        <w:spacing w:before="0" w:after="60" w:line="360" w:lineRule="auto"/>
        <w:ind w:firstLine="480"/>
        <w:jc w:val="both"/>
      </w:pPr>
      <w:r>
        <w:rPr>
          <w:rFonts w:ascii="宋体" w:hAnsi="宋体" w:eastAsia="宋体" w:cs="宋体"/>
          <w:b w:val="0"/>
          <w:bCs w:val="0"/>
          <w:sz w:val="24"/>
          <w:szCs w:val="24"/>
        </w:rPr>
        <w:t>（明确培养方式，包括双导师制、校企联合培养、课程学习与实践结合等。）</w:t>
      </w:r>
    </w:p>
    <w:p w14:paraId="1294D1EE">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①应明确</w:t>
      </w:r>
      <w:r>
        <w:rPr>
          <w:rFonts w:hint="eastAsia" w:ascii="仿宋" w:hAnsi="仿宋" w:eastAsia="仿宋" w:cs="仿宋"/>
          <w:color w:val="404040"/>
          <w:sz w:val="21"/>
          <w:szCs w:val="21"/>
          <w:lang w:val="en-US" w:eastAsia="zh-CN"/>
        </w:rPr>
        <w:t>是否为行业联合培养，是否</w:t>
      </w:r>
      <w:r>
        <w:rPr>
          <w:rFonts w:ascii="仿宋" w:hAnsi="仿宋" w:eastAsia="仿宋" w:cs="仿宋"/>
          <w:color w:val="404040"/>
          <w:sz w:val="21"/>
          <w:szCs w:val="21"/>
        </w:rPr>
        <w:t>实行双导师制</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校内导师为第一责任人，负责理论指导和学术训练；行业导师负责实践指导和职业发展</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②应说明校企/校地联合培养机制，包括联合培养基地、联合制定培养计划、联合实施培养过程等；③应说明培养过程采取课程学习、行业技能训练、行业实践、学位论文（实践成果）相结合的方式；④应体现专业学位的分类培养、分类评价特点；⑤应明确导师组集体指导的要求。</w:t>
      </w:r>
    </w:p>
    <w:p w14:paraId="4BC4C9D1">
      <w:pPr>
        <w:spacing w:before="40" w:after="80" w:line="320" w:lineRule="auto"/>
        <w:ind w:firstLine="480"/>
        <w:jc w:val="both"/>
      </w:pPr>
      <w:r>
        <w:rPr>
          <w:rFonts w:ascii="黑体" w:hAnsi="黑体" w:eastAsia="黑体" w:cs="黑体"/>
          <w:b/>
          <w:bCs/>
          <w:color w:val="008080"/>
          <w:sz w:val="21"/>
          <w:szCs w:val="21"/>
        </w:rPr>
        <w:t>【撰写体例】</w:t>
      </w:r>
      <w:r>
        <w:rPr>
          <w:rFonts w:ascii="仿宋" w:hAnsi="仿宋" w:eastAsia="仿宋" w:cs="仿宋"/>
          <w:color w:val="404040"/>
          <w:sz w:val="21"/>
          <w:szCs w:val="21"/>
        </w:rPr>
        <w:t>示例：采用</w:t>
      </w:r>
      <w:r>
        <w:rPr>
          <w:rFonts w:hint="eastAsia" w:ascii="仿宋" w:hAnsi="仿宋" w:eastAsia="仿宋" w:cs="仿宋"/>
          <w:color w:val="404040"/>
          <w:sz w:val="21"/>
          <w:szCs w:val="21"/>
          <w:lang w:val="en-US" w:eastAsia="zh-CN"/>
        </w:rPr>
        <w:t>联合**行业</w:t>
      </w:r>
      <w:r>
        <w:rPr>
          <w:rFonts w:ascii="仿宋" w:hAnsi="仿宋" w:eastAsia="仿宋" w:cs="仿宋"/>
          <w:color w:val="404040"/>
          <w:sz w:val="21"/>
          <w:szCs w:val="21"/>
        </w:rPr>
        <w:t>全日制培养方式，实行双导师制。校内导师为研究生培养的第一责任人，负责培养计划制定、理论指导和学术训练；行业导师负责实践指导、职业发展规划和行业资源对接。两位导师应每季度至少沟通一次，共同指导研究生的培养全过程。培养过程采取课程学习、行业实践和学位论文（实践成果）相结合的方式，依托联合培养基地，推进产学研用深度融合。建立导师组集体指导制度，定期开展学术研讨和实践交流。</w:t>
      </w:r>
    </w:p>
    <w:p w14:paraId="4B40A755">
      <w:pPr>
        <w:spacing w:before="40" w:after="80" w:line="320" w:lineRule="auto"/>
        <w:ind w:firstLine="480"/>
        <w:jc w:val="both"/>
      </w:pPr>
      <w:r>
        <w:rPr>
          <w:rFonts w:ascii="黑体" w:hAnsi="黑体" w:eastAsia="黑体" w:cs="黑体"/>
          <w:b/>
          <w:bCs/>
          <w:color w:val="0070C0"/>
          <w:sz w:val="21"/>
          <w:szCs w:val="21"/>
        </w:rPr>
        <w:t>【参考文件】</w:t>
      </w:r>
      <w:r>
        <w:rPr>
          <w:rFonts w:hint="eastAsia" w:ascii="仿宋" w:hAnsi="仿宋" w:eastAsia="仿宋" w:cs="仿宋"/>
          <w:color w:val="404040"/>
          <w:sz w:val="21"/>
          <w:szCs w:val="21"/>
          <w:lang w:val="en-US" w:eastAsia="zh-CN"/>
        </w:rPr>
        <w:t>1</w:t>
      </w:r>
      <w:r>
        <w:rPr>
          <w:rFonts w:ascii="仿宋" w:hAnsi="仿宋" w:eastAsia="仿宋" w:cs="仿宋"/>
          <w:color w:val="404040"/>
          <w:sz w:val="21"/>
          <w:szCs w:val="21"/>
        </w:rPr>
        <w:t>.《南京中医药大学专业学位研究生行业导师管理办法》；</w:t>
      </w:r>
      <w:r>
        <w:rPr>
          <w:rFonts w:hint="eastAsia" w:ascii="仿宋" w:hAnsi="仿宋" w:eastAsia="仿宋" w:cs="仿宋"/>
          <w:color w:val="404040"/>
          <w:sz w:val="21"/>
          <w:szCs w:val="21"/>
          <w:lang w:val="en-US" w:eastAsia="zh-CN"/>
        </w:rPr>
        <w:t>2</w:t>
      </w:r>
      <w:r>
        <w:rPr>
          <w:rFonts w:ascii="仿宋" w:hAnsi="仿宋" w:eastAsia="仿宋" w:cs="仿宋"/>
          <w:color w:val="404040"/>
          <w:sz w:val="21"/>
          <w:szCs w:val="21"/>
        </w:rPr>
        <w:t>.《南京中医药大学专业学位研究生联合培养基地建设与管理办法》。</w:t>
      </w:r>
    </w:p>
    <w:p w14:paraId="29D597F2">
      <w:pPr>
        <w:spacing w:before="0" w:after="0"/>
      </w:pPr>
    </w:p>
    <w:p w14:paraId="2B58EB62">
      <w:pPr>
        <w:spacing w:before="240" w:after="120" w:line="360" w:lineRule="auto"/>
        <w:ind w:firstLine="0"/>
        <w:jc w:val="left"/>
      </w:pPr>
      <w:r>
        <w:rPr>
          <w:rFonts w:hint="eastAsia" w:ascii="黑体" w:hAnsi="黑体" w:eastAsia="黑体" w:cs="黑体"/>
          <w:b/>
          <w:bCs/>
          <w:sz w:val="32"/>
          <w:szCs w:val="32"/>
          <w:lang w:val="en-US" w:eastAsia="zh-CN"/>
        </w:rPr>
        <w:t>五</w:t>
      </w:r>
      <w:r>
        <w:rPr>
          <w:rFonts w:ascii="黑体" w:hAnsi="黑体" w:eastAsia="黑体" w:cs="黑体"/>
          <w:b/>
          <w:bCs/>
          <w:sz w:val="32"/>
          <w:szCs w:val="32"/>
        </w:rPr>
        <w:t>、培养环节</w:t>
      </w:r>
    </w:p>
    <w:p w14:paraId="302398E0">
      <w:pPr>
        <w:spacing w:before="180" w:after="120" w:line="360" w:lineRule="auto"/>
        <w:ind w:firstLine="0"/>
        <w:jc w:val="left"/>
        <w:rPr>
          <w:rFonts w:ascii="黑体" w:hAnsi="黑体" w:eastAsia="黑体" w:cs="黑体"/>
          <w:b/>
          <w:bCs/>
          <w:sz w:val="28"/>
          <w:szCs w:val="28"/>
        </w:rPr>
      </w:pPr>
      <w:r>
        <w:rPr>
          <w:rFonts w:ascii="黑体" w:hAnsi="黑体" w:eastAsia="黑体" w:cs="黑体"/>
          <w:b/>
          <w:bCs/>
          <w:sz w:val="28"/>
          <w:szCs w:val="28"/>
        </w:rPr>
        <w:t>1. 课程学习</w:t>
      </w:r>
    </w:p>
    <w:p w14:paraId="16987969">
      <w:pPr>
        <w:spacing w:before="180" w:after="120" w:line="360" w:lineRule="auto"/>
        <w:ind w:firstLine="0"/>
        <w:jc w:val="left"/>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（课程方案单独附后，每年经论证后可进行动态调整。）</w:t>
      </w:r>
    </w:p>
    <w:p w14:paraId="7134EC1A">
      <w:pPr>
        <w:spacing w:before="0" w:after="60" w:line="360" w:lineRule="auto"/>
        <w:ind w:firstLine="480"/>
        <w:jc w:val="both"/>
      </w:pPr>
      <w:r>
        <w:rPr>
          <w:rFonts w:hint="eastAsia" w:cs="宋体"/>
          <w:b w:val="0"/>
          <w:bCs w:val="0"/>
          <w:sz w:val="24"/>
          <w:szCs w:val="24"/>
          <w:lang w:val="en-US" w:eastAsia="zh-CN"/>
        </w:rPr>
        <w:t>需</w:t>
      </w:r>
      <w:r>
        <w:rPr>
          <w:rFonts w:ascii="宋体" w:hAnsi="宋体" w:eastAsia="宋体" w:cs="宋体"/>
          <w:b w:val="0"/>
          <w:bCs w:val="0"/>
          <w:sz w:val="24"/>
          <w:szCs w:val="24"/>
        </w:rPr>
        <w:t>列出本专业课程设置表，明确课程类别、课程性质、学分要求等。</w:t>
      </w:r>
    </w:p>
    <w:p w14:paraId="5C31E66B">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①课程</w:t>
      </w:r>
      <w:r>
        <w:rPr>
          <w:rFonts w:hint="eastAsia" w:ascii="仿宋" w:hAnsi="仿宋" w:eastAsia="仿宋" w:cs="仿宋"/>
          <w:color w:val="404040"/>
          <w:sz w:val="21"/>
          <w:szCs w:val="21"/>
          <w:lang w:val="en-US" w:eastAsia="zh-CN"/>
        </w:rPr>
        <w:t>类别</w:t>
      </w:r>
      <w:r>
        <w:rPr>
          <w:rFonts w:ascii="仿宋" w:hAnsi="仿宋" w:eastAsia="仿宋" w:cs="仿宋"/>
          <w:color w:val="404040"/>
          <w:sz w:val="21"/>
          <w:szCs w:val="21"/>
        </w:rPr>
        <w:t>应</w:t>
      </w:r>
      <w:r>
        <w:rPr>
          <w:rFonts w:hint="eastAsia" w:ascii="仿宋" w:hAnsi="仿宋" w:eastAsia="仿宋" w:cs="仿宋"/>
          <w:color w:val="404040"/>
          <w:sz w:val="21"/>
          <w:szCs w:val="21"/>
          <w:lang w:val="en-US" w:eastAsia="zh-CN"/>
        </w:rPr>
        <w:t>涵盖“</w:t>
      </w:r>
      <w:r>
        <w:rPr>
          <w:rFonts w:ascii="仿宋" w:hAnsi="仿宋" w:eastAsia="仿宋" w:cs="仿宋"/>
          <w:color w:val="404040"/>
          <w:sz w:val="21"/>
          <w:szCs w:val="21"/>
        </w:rPr>
        <w:t>核心课程</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方向课程</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实践课程</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职业素养课程</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等</w:t>
      </w:r>
      <w:r>
        <w:rPr>
          <w:rFonts w:ascii="仿宋" w:hAnsi="仿宋" w:eastAsia="仿宋" w:cs="仿宋"/>
          <w:color w:val="404040"/>
          <w:sz w:val="21"/>
          <w:szCs w:val="21"/>
        </w:rPr>
        <w:t>；②学位课包括公共必修课、专业基础课、专业课（按方向设置）；③非学位课为选修课，应含</w:t>
      </w:r>
      <w:r>
        <w:rPr>
          <w:rFonts w:ascii="仿宋" w:hAnsi="仿宋" w:eastAsia="仿宋" w:cs="仿宋"/>
          <w:color w:val="auto"/>
          <w:sz w:val="21"/>
          <w:szCs w:val="21"/>
        </w:rPr>
        <w:t>职业素养</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综合素质类</w:t>
      </w:r>
      <w:r>
        <w:rPr>
          <w:rFonts w:ascii="仿宋" w:hAnsi="仿宋" w:eastAsia="仿宋" w:cs="仿宋"/>
          <w:color w:val="404040"/>
          <w:sz w:val="21"/>
          <w:szCs w:val="21"/>
        </w:rPr>
        <w:t>课程；④总学分要求应不低于国家规定和学校基本要求</w:t>
      </w:r>
      <w:r>
        <w:rPr>
          <w:rFonts w:ascii="仿宋" w:hAnsi="仿宋" w:eastAsia="仿宋" w:cs="仿宋"/>
          <w:color w:val="auto"/>
          <w:sz w:val="21"/>
          <w:szCs w:val="21"/>
        </w:rPr>
        <w:t>（</w:t>
      </w:r>
      <w:r>
        <w:rPr>
          <w:rFonts w:hint="eastAsia" w:ascii="仿宋" w:hAnsi="仿宋" w:eastAsia="仿宋" w:cs="仿宋"/>
          <w:color w:val="auto"/>
          <w:sz w:val="21"/>
          <w:szCs w:val="21"/>
          <w:lang w:val="en-US" w:eastAsia="zh-CN"/>
        </w:rPr>
        <w:t>硕士</w:t>
      </w:r>
      <w:r>
        <w:rPr>
          <w:rFonts w:ascii="仿宋" w:hAnsi="仿宋" w:eastAsia="仿宋" w:cs="仿宋"/>
          <w:color w:val="auto"/>
          <w:sz w:val="21"/>
          <w:szCs w:val="21"/>
        </w:rPr>
        <w:t>一般</w:t>
      </w:r>
      <w:r>
        <w:rPr>
          <w:rFonts w:hint="eastAsia" w:ascii="仿宋" w:hAnsi="仿宋" w:eastAsia="仿宋" w:cs="仿宋"/>
          <w:color w:val="auto"/>
          <w:sz w:val="21"/>
          <w:szCs w:val="21"/>
          <w:lang w:val="en-US" w:eastAsia="zh-CN"/>
        </w:rPr>
        <w:t>20-30</w:t>
      </w:r>
      <w:r>
        <w:rPr>
          <w:rFonts w:ascii="仿宋" w:hAnsi="仿宋" w:eastAsia="仿宋" w:cs="仿宋"/>
          <w:color w:val="auto"/>
          <w:sz w:val="21"/>
          <w:szCs w:val="21"/>
        </w:rPr>
        <w:t>学分</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博士15-20学分</w:t>
      </w:r>
      <w:r>
        <w:rPr>
          <w:rFonts w:ascii="仿宋" w:hAnsi="仿宋" w:eastAsia="仿宋" w:cs="仿宋"/>
          <w:color w:val="auto"/>
          <w:sz w:val="21"/>
          <w:szCs w:val="21"/>
        </w:rPr>
        <w:t>）</w:t>
      </w:r>
      <w:r>
        <w:rPr>
          <w:rFonts w:ascii="仿宋" w:hAnsi="仿宋" w:eastAsia="仿宋" w:cs="仿宋"/>
          <w:color w:val="404040"/>
          <w:sz w:val="21"/>
          <w:szCs w:val="21"/>
        </w:rPr>
        <w:t>；⑤课程设置应体现专业类别共性要求与方向特色，</w:t>
      </w:r>
      <w:r>
        <w:rPr>
          <w:rFonts w:hint="eastAsia" w:ascii="仿宋" w:hAnsi="仿宋" w:eastAsia="仿宋" w:cs="仿宋"/>
          <w:color w:val="404040"/>
          <w:sz w:val="21"/>
          <w:szCs w:val="21"/>
          <w:lang w:val="en-US" w:eastAsia="zh-CN"/>
        </w:rPr>
        <w:t>专业</w:t>
      </w:r>
      <w:r>
        <w:rPr>
          <w:rFonts w:ascii="仿宋" w:hAnsi="仿宋" w:eastAsia="仿宋" w:cs="仿宋"/>
          <w:color w:val="404040"/>
          <w:sz w:val="21"/>
          <w:szCs w:val="21"/>
        </w:rPr>
        <w:t>课程内容应与</w:t>
      </w:r>
      <w:r>
        <w:rPr>
          <w:rFonts w:hint="eastAsia" w:ascii="仿宋" w:hAnsi="仿宋" w:eastAsia="仿宋" w:cs="仿宋"/>
          <w:color w:val="404040"/>
          <w:sz w:val="21"/>
          <w:szCs w:val="21"/>
          <w:lang w:val="en-US" w:eastAsia="zh-CN"/>
        </w:rPr>
        <w:t>职业</w:t>
      </w:r>
      <w:r>
        <w:rPr>
          <w:rFonts w:ascii="仿宋" w:hAnsi="仿宋" w:eastAsia="仿宋" w:cs="仿宋"/>
          <w:color w:val="404040"/>
          <w:sz w:val="21"/>
          <w:szCs w:val="21"/>
        </w:rPr>
        <w:t>资格衔接；⑥注明各课程的开课学期、学时学分对应关系。</w:t>
      </w:r>
    </w:p>
    <w:p w14:paraId="16CEB836">
      <w:pPr>
        <w:spacing w:before="40" w:after="80" w:line="320" w:lineRule="auto"/>
        <w:ind w:firstLine="480"/>
        <w:jc w:val="both"/>
      </w:pPr>
      <w:r>
        <w:rPr>
          <w:rFonts w:ascii="黑体" w:hAnsi="黑体" w:eastAsia="黑体" w:cs="黑体"/>
          <w:b/>
          <w:bCs/>
          <w:color w:val="0070C0"/>
          <w:sz w:val="21"/>
          <w:szCs w:val="21"/>
        </w:rPr>
        <w:t>【参考文件】</w:t>
      </w:r>
      <w:r>
        <w:rPr>
          <w:rFonts w:ascii="仿宋" w:hAnsi="仿宋" w:eastAsia="仿宋" w:cs="仿宋"/>
          <w:color w:val="404040"/>
          <w:sz w:val="21"/>
          <w:szCs w:val="21"/>
        </w:rPr>
        <w:t>1.教育部专业学位研究生教育指导委员会各专业类别指导性培养方案；</w:t>
      </w:r>
      <w:r>
        <w:rPr>
          <w:rFonts w:hint="eastAsia" w:ascii="仿宋" w:hAnsi="仿宋" w:eastAsia="仿宋" w:cs="仿宋"/>
          <w:color w:val="404040"/>
          <w:sz w:val="21"/>
          <w:szCs w:val="21"/>
          <w:lang w:val="en-US" w:eastAsia="zh-CN"/>
        </w:rPr>
        <w:t>2</w:t>
      </w:r>
      <w:r>
        <w:rPr>
          <w:rFonts w:ascii="仿宋" w:hAnsi="仿宋" w:eastAsia="仿宋" w:cs="仿宋"/>
          <w:color w:val="404040"/>
          <w:sz w:val="21"/>
          <w:szCs w:val="21"/>
        </w:rPr>
        <w:t>.《南京中医药大学研究生课程教学管理办法》。</w:t>
      </w:r>
    </w:p>
    <w:p w14:paraId="5220953B">
      <w:pPr>
        <w:spacing w:before="180" w:after="120" w:line="360" w:lineRule="auto"/>
        <w:ind w:firstLine="0"/>
        <w:jc w:val="left"/>
      </w:pPr>
      <w:r>
        <w:rPr>
          <w:rFonts w:hint="eastAsia" w:ascii="黑体" w:hAnsi="黑体" w:eastAsia="黑体" w:cs="黑体"/>
          <w:b/>
          <w:bCs/>
          <w:sz w:val="28"/>
          <w:szCs w:val="28"/>
          <w:lang w:val="en-US" w:eastAsia="zh-CN"/>
        </w:rPr>
        <w:t>2</w:t>
      </w:r>
      <w:r>
        <w:rPr>
          <w:rFonts w:ascii="黑体" w:hAnsi="黑体" w:eastAsia="黑体" w:cs="黑体"/>
          <w:b/>
          <w:bCs/>
          <w:sz w:val="28"/>
          <w:szCs w:val="28"/>
        </w:rPr>
        <w:t>. 行业学习与交流</w:t>
      </w:r>
    </w:p>
    <w:p w14:paraId="56390CD6">
      <w:pPr>
        <w:spacing w:before="0" w:after="60" w:line="360" w:lineRule="auto"/>
        <w:ind w:firstLine="480"/>
        <w:jc w:val="both"/>
      </w:pPr>
      <w:r>
        <w:rPr>
          <w:rFonts w:ascii="宋体" w:hAnsi="宋体" w:eastAsia="宋体" w:cs="宋体"/>
          <w:b w:val="0"/>
          <w:bCs w:val="0"/>
          <w:sz w:val="24"/>
          <w:szCs w:val="24"/>
        </w:rPr>
        <w:t>（明确行业学习与交流的次数、方式及效果；学分获得的要求。）</w:t>
      </w:r>
    </w:p>
    <w:p w14:paraId="0DAA8C8C">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①应明确研究生在学期间参加行业学习与交流的最低次数/频次要求（一般不少于</w:t>
      </w:r>
      <w:r>
        <w:rPr>
          <w:rFonts w:hint="eastAsia" w:ascii="仿宋" w:hAnsi="仿宋" w:eastAsia="仿宋" w:cs="仿宋"/>
          <w:color w:val="404040"/>
          <w:sz w:val="21"/>
          <w:szCs w:val="21"/>
          <w:lang w:val="en-US" w:eastAsia="zh-CN"/>
        </w:rPr>
        <w:t>6</w:t>
      </w:r>
      <w:r>
        <w:rPr>
          <w:rFonts w:ascii="仿宋" w:hAnsi="仿宋" w:eastAsia="仿宋" w:cs="仿宋"/>
          <w:color w:val="404040"/>
          <w:sz w:val="21"/>
          <w:szCs w:val="21"/>
        </w:rPr>
        <w:t>次学术/行业活动）；②方式可包括：参加行业学术会议、行业论坛、企业参访、专题讲座、学科竞赛等；③</w:t>
      </w:r>
      <w:r>
        <w:rPr>
          <w:rFonts w:hint="eastAsia" w:ascii="仿宋" w:hAnsi="仿宋" w:eastAsia="仿宋" w:cs="仿宋"/>
          <w:color w:val="404040"/>
          <w:sz w:val="21"/>
          <w:szCs w:val="21"/>
          <w:lang w:val="en-US" w:eastAsia="zh-CN"/>
        </w:rPr>
        <w:t>博士</w:t>
      </w:r>
      <w:r>
        <w:rPr>
          <w:rFonts w:ascii="仿宋" w:hAnsi="仿宋" w:eastAsia="仿宋" w:cs="仿宋"/>
          <w:color w:val="404040"/>
          <w:sz w:val="21"/>
          <w:szCs w:val="21"/>
        </w:rPr>
        <w:t>研究生</w:t>
      </w:r>
      <w:r>
        <w:rPr>
          <w:rFonts w:hint="eastAsia" w:ascii="仿宋" w:hAnsi="仿宋" w:eastAsia="仿宋" w:cs="仿宋"/>
          <w:color w:val="404040"/>
          <w:sz w:val="21"/>
          <w:szCs w:val="21"/>
          <w:lang w:val="en-US" w:eastAsia="zh-CN"/>
        </w:rPr>
        <w:t>还应作行业会议</w:t>
      </w:r>
      <w:r>
        <w:rPr>
          <w:rFonts w:ascii="仿宋" w:hAnsi="仿宋" w:eastAsia="仿宋" w:cs="仿宋"/>
          <w:color w:val="404040"/>
          <w:sz w:val="21"/>
          <w:szCs w:val="21"/>
        </w:rPr>
        <w:t>报告（口头报告或</w:t>
      </w:r>
      <w:r>
        <w:rPr>
          <w:rFonts w:hint="eastAsia" w:ascii="仿宋" w:hAnsi="仿宋" w:eastAsia="仿宋" w:cs="仿宋"/>
          <w:color w:val="404040"/>
          <w:sz w:val="21"/>
          <w:szCs w:val="21"/>
          <w:lang w:val="en-US" w:eastAsia="zh-CN"/>
        </w:rPr>
        <w:t>壁报</w:t>
      </w:r>
      <w:r>
        <w:rPr>
          <w:rFonts w:ascii="仿宋" w:hAnsi="仿宋" w:eastAsia="仿宋" w:cs="仿宋"/>
          <w:color w:val="404040"/>
          <w:sz w:val="21"/>
          <w:szCs w:val="21"/>
        </w:rPr>
        <w:t>展示）</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至少1次省级及以上行业会议报告</w:t>
      </w:r>
      <w:r>
        <w:rPr>
          <w:rFonts w:ascii="仿宋" w:hAnsi="仿宋" w:eastAsia="仿宋" w:cs="仿宋"/>
          <w:color w:val="404040"/>
          <w:sz w:val="21"/>
          <w:szCs w:val="21"/>
        </w:rPr>
        <w:t>；④应说明学分认定标准——参加活动需提供证明材料（签到、证书、心得报告等），经导师</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培养单位</w:t>
      </w:r>
      <w:r>
        <w:rPr>
          <w:rFonts w:ascii="仿宋" w:hAnsi="仿宋" w:eastAsia="仿宋" w:cs="仿宋"/>
          <w:color w:val="404040"/>
          <w:sz w:val="21"/>
          <w:szCs w:val="21"/>
        </w:rPr>
        <w:t>确认后认定学分；</w:t>
      </w:r>
      <w:r>
        <w:rPr>
          <w:rFonts w:hint="eastAsia" w:ascii="仿宋" w:hAnsi="仿宋" w:eastAsia="仿宋" w:cs="仿宋"/>
          <w:color w:val="404040"/>
          <w:sz w:val="21"/>
          <w:szCs w:val="21"/>
          <w:lang w:val="en-US" w:eastAsia="zh-CN"/>
        </w:rPr>
        <w:t>满足最低学习与交流次数要求认定1学分，口头报告或壁报展示认定1学分</w:t>
      </w:r>
      <w:r>
        <w:rPr>
          <w:rFonts w:ascii="仿宋" w:hAnsi="仿宋" w:eastAsia="仿宋" w:cs="仿宋"/>
          <w:color w:val="404040"/>
          <w:sz w:val="21"/>
          <w:szCs w:val="21"/>
        </w:rPr>
        <w:t>；</w:t>
      </w:r>
      <w:r>
        <w:rPr>
          <w:rFonts w:hint="eastAsia" w:ascii="仿宋" w:hAnsi="仿宋" w:eastAsia="仿宋" w:cs="仿宋"/>
          <w:color w:val="404040"/>
          <w:sz w:val="21"/>
          <w:szCs w:val="21"/>
          <w:lang w:val="en-US" w:eastAsia="zh-CN"/>
        </w:rPr>
        <w:t>硕士至少完成1学分，博士2学分</w:t>
      </w:r>
      <w:r>
        <w:rPr>
          <w:rFonts w:ascii="仿宋" w:hAnsi="仿宋" w:eastAsia="仿宋" w:cs="仿宋"/>
          <w:color w:val="404040"/>
          <w:sz w:val="21"/>
          <w:szCs w:val="21"/>
        </w:rPr>
        <w:t>。</w:t>
      </w:r>
    </w:p>
    <w:p w14:paraId="300B3ED7">
      <w:pPr>
        <w:spacing w:before="40" w:after="80" w:line="320" w:lineRule="auto"/>
        <w:ind w:firstLine="480"/>
        <w:jc w:val="both"/>
        <w:rPr>
          <w:rFonts w:hint="default"/>
          <w:color w:val="auto"/>
          <w:lang w:val="en-US"/>
        </w:rPr>
      </w:pPr>
      <w:r>
        <w:rPr>
          <w:rFonts w:ascii="黑体" w:hAnsi="黑体" w:eastAsia="黑体" w:cs="黑体"/>
          <w:b/>
          <w:bCs/>
          <w:color w:val="008080"/>
          <w:sz w:val="21"/>
          <w:szCs w:val="21"/>
        </w:rPr>
        <w:t>【撰写体例】</w:t>
      </w:r>
      <w:r>
        <w:rPr>
          <w:rFonts w:ascii="仿宋" w:hAnsi="仿宋" w:eastAsia="仿宋" w:cs="仿宋"/>
          <w:color w:val="404040"/>
          <w:sz w:val="21"/>
          <w:szCs w:val="21"/>
        </w:rPr>
        <w:t>示例：</w:t>
      </w:r>
      <w:r>
        <w:rPr>
          <w:rFonts w:hint="eastAsia" w:ascii="仿宋" w:hAnsi="仿宋" w:eastAsia="仿宋" w:cs="仿宋"/>
          <w:color w:val="auto"/>
          <w:sz w:val="21"/>
          <w:szCs w:val="21"/>
          <w:lang w:val="en-US" w:eastAsia="zh-CN"/>
        </w:rPr>
        <w:t>研究生在学期间应参加不少于6次行业学习与交流活动，</w:t>
      </w:r>
      <w:r>
        <w:rPr>
          <w:rFonts w:ascii="仿宋" w:hAnsi="仿宋" w:eastAsia="仿宋" w:cs="仿宋"/>
          <w:color w:val="auto"/>
          <w:sz w:val="21"/>
          <w:szCs w:val="21"/>
        </w:rPr>
        <w:t>方式</w:t>
      </w:r>
      <w:r>
        <w:rPr>
          <w:rFonts w:hint="eastAsia" w:ascii="仿宋" w:hAnsi="仿宋" w:eastAsia="仿宋" w:cs="仿宋"/>
          <w:color w:val="auto"/>
          <w:sz w:val="21"/>
          <w:szCs w:val="21"/>
          <w:lang w:val="en-US" w:eastAsia="zh-CN"/>
        </w:rPr>
        <w:t>为</w:t>
      </w:r>
      <w:r>
        <w:rPr>
          <w:rFonts w:ascii="仿宋" w:hAnsi="仿宋" w:eastAsia="仿宋" w:cs="仿宋"/>
          <w:color w:val="auto"/>
          <w:sz w:val="21"/>
          <w:szCs w:val="21"/>
        </w:rPr>
        <w:t>参加行业学术会议、行业论坛、企业参访、专题讲座、学科竞赛等</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博士研究生应至少完成</w:t>
      </w:r>
      <w:r>
        <w:rPr>
          <w:rFonts w:ascii="仿宋" w:hAnsi="仿宋" w:eastAsia="仿宋" w:cs="仿宋"/>
          <w:color w:val="auto"/>
          <w:sz w:val="21"/>
          <w:szCs w:val="21"/>
        </w:rPr>
        <w:t>1次</w:t>
      </w:r>
      <w:r>
        <w:rPr>
          <w:rFonts w:hint="eastAsia" w:ascii="仿宋" w:hAnsi="仿宋" w:eastAsia="仿宋" w:cs="仿宋"/>
          <w:color w:val="auto"/>
          <w:sz w:val="21"/>
          <w:szCs w:val="21"/>
          <w:lang w:val="en-US" w:eastAsia="zh-CN"/>
        </w:rPr>
        <w:t>省级及以上行业会议</w:t>
      </w:r>
      <w:r>
        <w:rPr>
          <w:rFonts w:ascii="仿宋" w:hAnsi="仿宋" w:eastAsia="仿宋" w:cs="仿宋"/>
          <w:color w:val="auto"/>
          <w:sz w:val="21"/>
          <w:szCs w:val="21"/>
        </w:rPr>
        <w:t>报告</w:t>
      </w:r>
      <w:r>
        <w:rPr>
          <w:rFonts w:hint="eastAsia" w:ascii="仿宋" w:hAnsi="仿宋" w:eastAsia="仿宋" w:cs="仿宋"/>
          <w:color w:val="auto"/>
          <w:sz w:val="21"/>
          <w:szCs w:val="21"/>
          <w:lang w:eastAsia="zh-CN"/>
        </w:rPr>
        <w:t>（</w:t>
      </w:r>
      <w:r>
        <w:rPr>
          <w:rFonts w:ascii="仿宋" w:hAnsi="仿宋" w:eastAsia="仿宋" w:cs="仿宋"/>
          <w:color w:val="auto"/>
          <w:sz w:val="21"/>
          <w:szCs w:val="21"/>
        </w:rPr>
        <w:t>口头报告或</w:t>
      </w:r>
      <w:r>
        <w:rPr>
          <w:rFonts w:hint="eastAsia" w:ascii="仿宋" w:hAnsi="仿宋" w:eastAsia="仿宋" w:cs="仿宋"/>
          <w:color w:val="auto"/>
          <w:sz w:val="21"/>
          <w:szCs w:val="21"/>
          <w:lang w:val="en-US" w:eastAsia="zh-CN"/>
        </w:rPr>
        <w:t>壁报</w:t>
      </w:r>
      <w:r>
        <w:rPr>
          <w:rFonts w:ascii="仿宋" w:hAnsi="仿宋" w:eastAsia="仿宋" w:cs="仿宋"/>
          <w:color w:val="auto"/>
          <w:sz w:val="21"/>
          <w:szCs w:val="21"/>
        </w:rPr>
        <w:t>展示</w:t>
      </w:r>
      <w:r>
        <w:rPr>
          <w:rFonts w:hint="eastAsia" w:ascii="仿宋" w:hAnsi="仿宋" w:eastAsia="仿宋" w:cs="仿宋"/>
          <w:color w:val="auto"/>
          <w:sz w:val="21"/>
          <w:szCs w:val="21"/>
          <w:lang w:eastAsia="zh-CN"/>
        </w:rPr>
        <w:t>）</w:t>
      </w:r>
      <w:r>
        <w:rPr>
          <w:rFonts w:ascii="仿宋" w:hAnsi="仿宋" w:eastAsia="仿宋" w:cs="仿宋"/>
          <w:color w:val="auto"/>
          <w:sz w:val="21"/>
          <w:szCs w:val="21"/>
        </w:rPr>
        <w:t>。参加活动需提供证明材料，经导师确认</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培养单位审核后</w:t>
      </w:r>
      <w:r>
        <w:rPr>
          <w:rFonts w:ascii="仿宋" w:hAnsi="仿宋" w:eastAsia="仿宋" w:cs="仿宋"/>
          <w:color w:val="auto"/>
          <w:sz w:val="21"/>
          <w:szCs w:val="21"/>
        </w:rPr>
        <w:t>认定学分</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满足最低次数要求认定1学分，完成行业会议报告认定1学分。硕士研究生至少完成1学分，博士研究生至少完成2学分。</w:t>
      </w:r>
    </w:p>
    <w:p w14:paraId="324EE6A1">
      <w:pPr>
        <w:spacing w:before="180" w:after="120" w:line="360" w:lineRule="auto"/>
        <w:ind w:firstLine="0"/>
        <w:jc w:val="left"/>
      </w:pPr>
      <w:r>
        <w:rPr>
          <w:rFonts w:hint="eastAsia" w:ascii="黑体" w:hAnsi="黑体" w:eastAsia="黑体" w:cs="黑体"/>
          <w:b/>
          <w:bCs/>
          <w:sz w:val="28"/>
          <w:szCs w:val="28"/>
          <w:lang w:val="en-US" w:eastAsia="zh-CN"/>
        </w:rPr>
        <w:t>3</w:t>
      </w:r>
      <w:r>
        <w:rPr>
          <w:rFonts w:ascii="黑体" w:hAnsi="黑体" w:eastAsia="黑体" w:cs="黑体"/>
          <w:b/>
          <w:bCs/>
          <w:sz w:val="28"/>
          <w:szCs w:val="28"/>
        </w:rPr>
        <w:t xml:space="preserve">. </w:t>
      </w:r>
      <w:r>
        <w:rPr>
          <w:rFonts w:hint="eastAsia" w:ascii="黑体" w:hAnsi="黑体" w:eastAsia="黑体" w:cs="黑体"/>
          <w:b/>
          <w:bCs/>
          <w:sz w:val="28"/>
          <w:szCs w:val="28"/>
          <w:lang w:val="en-US" w:eastAsia="zh-CN"/>
        </w:rPr>
        <w:t>行业（专业）实践</w:t>
      </w:r>
    </w:p>
    <w:p w14:paraId="3A7A86C5">
      <w:pPr>
        <w:spacing w:before="0" w:after="60" w:line="360" w:lineRule="auto"/>
        <w:ind w:firstLine="480"/>
        <w:jc w:val="both"/>
      </w:pPr>
      <w:r>
        <w:rPr>
          <w:rFonts w:ascii="宋体" w:hAnsi="宋体" w:eastAsia="宋体" w:cs="宋体"/>
          <w:b w:val="0"/>
          <w:bCs w:val="0"/>
          <w:sz w:val="24"/>
          <w:szCs w:val="24"/>
        </w:rPr>
        <w:t>（明确本专业</w:t>
      </w:r>
      <w:r>
        <w:rPr>
          <w:rFonts w:hint="eastAsia" w:cs="宋体"/>
          <w:b w:val="0"/>
          <w:bCs w:val="0"/>
          <w:sz w:val="24"/>
          <w:szCs w:val="24"/>
          <w:lang w:val="en-US" w:eastAsia="zh-CN"/>
        </w:rPr>
        <w:t>实践目标，实践的项目与内容，实践基地，实践周期，</w:t>
      </w:r>
      <w:r>
        <w:rPr>
          <w:rFonts w:ascii="宋体" w:hAnsi="宋体" w:eastAsia="宋体" w:cs="宋体"/>
          <w:b w:val="0"/>
          <w:bCs w:val="0"/>
          <w:sz w:val="24"/>
          <w:szCs w:val="24"/>
        </w:rPr>
        <w:t>考核的形式与要求。）</w:t>
      </w:r>
    </w:p>
    <w:p w14:paraId="2DBB85E7">
      <w:pPr>
        <w:spacing w:before="60" w:after="80" w:line="320" w:lineRule="auto"/>
        <w:ind w:firstLine="480"/>
        <w:jc w:val="both"/>
        <w:rPr>
          <w:rFonts w:hint="default" w:eastAsia="仿宋"/>
          <w:color w:val="auto"/>
          <w:lang w:val="en-US" w:eastAsia="zh-CN"/>
        </w:rPr>
      </w:pPr>
      <w:r>
        <w:rPr>
          <w:rFonts w:ascii="黑体" w:hAnsi="黑体" w:eastAsia="黑体" w:cs="黑体"/>
          <w:b/>
          <w:bCs/>
          <w:color w:val="C00000"/>
          <w:sz w:val="21"/>
          <w:szCs w:val="21"/>
        </w:rPr>
        <w:t>【撰写要求】</w:t>
      </w:r>
      <w:r>
        <w:rPr>
          <w:rFonts w:ascii="仿宋" w:hAnsi="仿宋" w:eastAsia="仿宋" w:cs="仿宋"/>
          <w:color w:val="404040"/>
          <w:sz w:val="21"/>
          <w:szCs w:val="21"/>
        </w:rPr>
        <w:t>①应列出本专业</w:t>
      </w:r>
      <w:r>
        <w:rPr>
          <w:rFonts w:hint="eastAsia" w:ascii="仿宋" w:hAnsi="仿宋" w:eastAsia="仿宋" w:cs="仿宋"/>
          <w:color w:val="404040"/>
          <w:sz w:val="21"/>
          <w:szCs w:val="21"/>
          <w:lang w:val="en-US" w:eastAsia="zh-CN"/>
        </w:rPr>
        <w:t>类别实践</w:t>
      </w:r>
      <w:r>
        <w:rPr>
          <w:rFonts w:ascii="仿宋" w:hAnsi="仿宋" w:eastAsia="仿宋" w:cs="仿宋"/>
          <w:color w:val="404040"/>
          <w:sz w:val="21"/>
          <w:szCs w:val="21"/>
        </w:rPr>
        <w:t>项目清单，每项</w:t>
      </w:r>
      <w:r>
        <w:rPr>
          <w:rFonts w:hint="eastAsia" w:ascii="仿宋" w:hAnsi="仿宋" w:eastAsia="仿宋" w:cs="仿宋"/>
          <w:color w:val="404040"/>
          <w:sz w:val="21"/>
          <w:szCs w:val="21"/>
          <w:lang w:val="en-US" w:eastAsia="zh-CN"/>
        </w:rPr>
        <w:t>实践</w:t>
      </w:r>
      <w:r>
        <w:rPr>
          <w:rFonts w:ascii="仿宋" w:hAnsi="仿宋" w:eastAsia="仿宋" w:cs="仿宋"/>
          <w:color w:val="404040"/>
          <w:sz w:val="21"/>
          <w:szCs w:val="21"/>
        </w:rPr>
        <w:t>应有明确的目标和</w:t>
      </w:r>
      <w:r>
        <w:rPr>
          <w:rFonts w:hint="eastAsia" w:ascii="仿宋" w:hAnsi="仿宋" w:eastAsia="仿宋" w:cs="仿宋"/>
          <w:color w:val="404040"/>
          <w:sz w:val="21"/>
          <w:szCs w:val="21"/>
          <w:lang w:val="en-US" w:eastAsia="zh-CN"/>
        </w:rPr>
        <w:t>内容</w:t>
      </w:r>
      <w:r>
        <w:rPr>
          <w:rFonts w:ascii="仿宋" w:hAnsi="仿宋" w:eastAsia="仿宋" w:cs="仿宋"/>
          <w:color w:val="404040"/>
          <w:sz w:val="21"/>
          <w:szCs w:val="21"/>
        </w:rPr>
        <w:t>；②</w:t>
      </w:r>
      <w:r>
        <w:rPr>
          <w:rFonts w:hint="eastAsia" w:ascii="仿宋" w:hAnsi="仿宋" w:eastAsia="仿宋" w:cs="仿宋"/>
          <w:color w:val="404040"/>
          <w:sz w:val="21"/>
          <w:szCs w:val="21"/>
          <w:lang w:val="en-US" w:eastAsia="zh-CN"/>
        </w:rPr>
        <w:t>实践</w:t>
      </w:r>
      <w:r>
        <w:rPr>
          <w:rFonts w:ascii="仿宋" w:hAnsi="仿宋" w:eastAsia="仿宋" w:cs="仿宋"/>
          <w:color w:val="404040"/>
          <w:sz w:val="21"/>
          <w:szCs w:val="21"/>
        </w:rPr>
        <w:t>方式应基于真实场景或模拟场景，依托</w:t>
      </w:r>
      <w:r>
        <w:rPr>
          <w:rFonts w:hint="eastAsia" w:ascii="仿宋" w:hAnsi="仿宋" w:eastAsia="仿宋" w:cs="仿宋"/>
          <w:color w:val="404040"/>
          <w:sz w:val="21"/>
          <w:szCs w:val="21"/>
          <w:lang w:val="en-US" w:eastAsia="zh-CN"/>
        </w:rPr>
        <w:t>附属医院、企业，</w:t>
      </w:r>
      <w:r>
        <w:rPr>
          <w:rFonts w:ascii="仿宋" w:hAnsi="仿宋" w:eastAsia="仿宋" w:cs="仿宋"/>
          <w:color w:val="404040"/>
          <w:sz w:val="21"/>
          <w:szCs w:val="21"/>
        </w:rPr>
        <w:t>联合培养基地或校内</w:t>
      </w:r>
      <w:r>
        <w:rPr>
          <w:rFonts w:hint="eastAsia" w:ascii="仿宋" w:hAnsi="仿宋" w:eastAsia="仿宋" w:cs="仿宋"/>
          <w:color w:val="404040"/>
          <w:sz w:val="21"/>
          <w:szCs w:val="21"/>
          <w:lang w:val="en-US" w:eastAsia="zh-CN"/>
        </w:rPr>
        <w:t>外</w:t>
      </w:r>
      <w:r>
        <w:rPr>
          <w:rFonts w:ascii="仿宋" w:hAnsi="仿宋" w:eastAsia="仿宋" w:cs="仿宋"/>
          <w:color w:val="404040"/>
          <w:sz w:val="21"/>
          <w:szCs w:val="21"/>
        </w:rPr>
        <w:t>实践平台开展；③应明确训练时间安排（累计不少于2个月，在学校认定的联合培养基地开展，实行校内外导师联合考核）；④考核形式可包括操作考核、技能竞赛、作品/产品展示等，应有量化评分标准；实践考核不合格者不得申请学位。⑤</w:t>
      </w:r>
      <w:r>
        <w:rPr>
          <w:rFonts w:hint="eastAsia" w:ascii="仿宋" w:hAnsi="仿宋" w:eastAsia="仿宋" w:cs="仿宋"/>
          <w:color w:val="auto"/>
          <w:sz w:val="21"/>
          <w:szCs w:val="21"/>
          <w:lang w:val="en-US" w:eastAsia="zh-CN"/>
        </w:rPr>
        <w:t>学分认定：少于6个月的短期实践，应在中期考核前完成</w:t>
      </w:r>
      <w:r>
        <w:rPr>
          <w:rFonts w:ascii="仿宋" w:hAnsi="仿宋" w:eastAsia="仿宋" w:cs="仿宋"/>
          <w:color w:val="auto"/>
          <w:sz w:val="21"/>
          <w:szCs w:val="21"/>
        </w:rPr>
        <w:t>考核</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并认定</w:t>
      </w:r>
      <w:r>
        <w:rPr>
          <w:rFonts w:ascii="仿宋" w:hAnsi="仿宋" w:eastAsia="仿宋" w:cs="仿宋"/>
          <w:color w:val="auto"/>
          <w:sz w:val="21"/>
          <w:szCs w:val="21"/>
        </w:rPr>
        <w:t>相应学分</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不超过6学分</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申请学位所需论文及成果的实践工作，应在申请学位前完成考核或鉴定，不作学分认定要求。</w:t>
      </w:r>
    </w:p>
    <w:p w14:paraId="74527354">
      <w:pPr>
        <w:spacing w:before="40" w:after="80" w:line="320" w:lineRule="auto"/>
        <w:ind w:firstLine="480"/>
        <w:jc w:val="both"/>
      </w:pPr>
      <w:r>
        <w:rPr>
          <w:rFonts w:ascii="黑体" w:hAnsi="黑体" w:eastAsia="黑体" w:cs="黑体"/>
          <w:b/>
          <w:bCs/>
          <w:color w:val="008080"/>
          <w:sz w:val="21"/>
          <w:szCs w:val="21"/>
        </w:rPr>
        <w:t>【撰写体例】</w:t>
      </w:r>
      <w:r>
        <w:rPr>
          <w:rFonts w:hint="eastAsia" w:ascii="仿宋" w:hAnsi="仿宋" w:eastAsia="仿宋" w:cs="仿宋"/>
          <w:color w:val="404040"/>
          <w:sz w:val="21"/>
          <w:szCs w:val="21"/>
          <w:lang w:val="en-US" w:eastAsia="zh-CN"/>
        </w:rPr>
        <w:t>短期实践</w:t>
      </w:r>
      <w:r>
        <w:rPr>
          <w:rFonts w:ascii="仿宋" w:hAnsi="仿宋" w:eastAsia="仿宋" w:cs="仿宋"/>
          <w:color w:val="404040"/>
          <w:sz w:val="21"/>
          <w:szCs w:val="21"/>
        </w:rPr>
        <w:t>示例：（1）XX</w:t>
      </w:r>
      <w:r>
        <w:rPr>
          <w:rFonts w:hint="eastAsia" w:ascii="仿宋" w:hAnsi="仿宋" w:eastAsia="仿宋" w:cs="仿宋"/>
          <w:color w:val="404040"/>
          <w:sz w:val="21"/>
          <w:szCs w:val="21"/>
          <w:lang w:val="en-US" w:eastAsia="zh-CN"/>
        </w:rPr>
        <w:t>实践</w:t>
      </w:r>
      <w:r>
        <w:rPr>
          <w:rFonts w:ascii="仿宋" w:hAnsi="仿宋" w:eastAsia="仿宋" w:cs="仿宋"/>
          <w:color w:val="404040"/>
          <w:sz w:val="21"/>
          <w:szCs w:val="21"/>
        </w:rPr>
        <w:t>训练：在第1-2学期开展，依托XX实践基地，训练内容包括……，考核方式为操作考核+书面报告，满分100分，60分及以上为合格。
（2）XX</w:t>
      </w:r>
      <w:r>
        <w:rPr>
          <w:rFonts w:hint="eastAsia" w:ascii="仿宋" w:hAnsi="仿宋" w:eastAsia="仿宋" w:cs="仿宋"/>
          <w:color w:val="404040"/>
          <w:sz w:val="21"/>
          <w:szCs w:val="21"/>
          <w:lang w:val="en-US" w:eastAsia="zh-CN"/>
        </w:rPr>
        <w:t>实践</w:t>
      </w:r>
      <w:r>
        <w:rPr>
          <w:rFonts w:ascii="仿宋" w:hAnsi="仿宋" w:eastAsia="仿宋" w:cs="仿宋"/>
          <w:color w:val="404040"/>
          <w:sz w:val="21"/>
          <w:szCs w:val="21"/>
        </w:rPr>
        <w:t>训练：……
……
</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本环节共*学分，</w:t>
      </w:r>
      <w:r>
        <w:rPr>
          <w:rFonts w:hint="eastAsia" w:ascii="仿宋" w:hAnsi="仿宋" w:eastAsia="仿宋" w:cs="仿宋"/>
          <w:color w:val="404040"/>
          <w:sz w:val="21"/>
          <w:szCs w:val="21"/>
          <w:lang w:val="en-US" w:eastAsia="zh-CN"/>
        </w:rPr>
        <w:t>全部项目</w:t>
      </w:r>
      <w:r>
        <w:rPr>
          <w:rFonts w:ascii="仿宋" w:hAnsi="仿宋" w:eastAsia="仿宋" w:cs="仿宋"/>
          <w:color w:val="404040"/>
          <w:sz w:val="21"/>
          <w:szCs w:val="21"/>
        </w:rPr>
        <w:t>考核合格方可获得学分。</w:t>
      </w:r>
    </w:p>
    <w:p w14:paraId="024CA842">
      <w:pPr>
        <w:spacing w:before="180" w:after="120" w:line="360" w:lineRule="auto"/>
        <w:ind w:firstLine="0"/>
        <w:jc w:val="left"/>
      </w:pPr>
      <w:r>
        <w:rPr>
          <w:rFonts w:hint="eastAsia" w:ascii="黑体" w:hAnsi="黑体" w:eastAsia="黑体" w:cs="黑体"/>
          <w:b/>
          <w:bCs/>
          <w:sz w:val="28"/>
          <w:szCs w:val="28"/>
          <w:lang w:val="en-US" w:eastAsia="zh-CN"/>
        </w:rPr>
        <w:t>4</w:t>
      </w:r>
      <w:r>
        <w:rPr>
          <w:rFonts w:ascii="黑体" w:hAnsi="黑体" w:eastAsia="黑体" w:cs="黑体"/>
          <w:b/>
          <w:bCs/>
          <w:sz w:val="28"/>
          <w:szCs w:val="28"/>
        </w:rPr>
        <w:t>. 学位论文、申请学位实践成果工作</w:t>
      </w:r>
    </w:p>
    <w:p w14:paraId="3A199B7E">
      <w:pPr>
        <w:spacing w:before="0" w:after="60" w:line="360" w:lineRule="auto"/>
        <w:ind w:firstLine="480"/>
        <w:jc w:val="both"/>
      </w:pPr>
      <w:r>
        <w:rPr>
          <w:rFonts w:ascii="宋体" w:hAnsi="宋体" w:eastAsia="宋体" w:cs="宋体"/>
          <w:b w:val="0"/>
          <w:bCs w:val="0"/>
          <w:sz w:val="24"/>
          <w:szCs w:val="24"/>
        </w:rPr>
        <w:t>（明确学位论文与实践成果的选题、开题、中期检查、撰写、评阅与鉴定、答辩等各环节的要求。）</w:t>
      </w:r>
    </w:p>
    <w:p w14:paraId="7A2B4B37">
      <w:pPr>
        <w:spacing w:before="0" w:after="60" w:line="360" w:lineRule="auto"/>
        <w:ind w:firstLine="480"/>
        <w:jc w:val="both"/>
      </w:pPr>
      <w:r>
        <w:rPr>
          <w:rFonts w:ascii="宋体" w:hAnsi="宋体" w:eastAsia="宋体" w:cs="宋体"/>
          <w:b/>
          <w:bCs/>
          <w:sz w:val="24"/>
          <w:szCs w:val="24"/>
        </w:rPr>
        <w:t>（1）开题</w:t>
      </w:r>
    </w:p>
    <w:p w14:paraId="1FF0888D">
      <w:pPr>
        <w:spacing w:before="0" w:after="60" w:line="360" w:lineRule="auto"/>
        <w:ind w:firstLine="480"/>
        <w:jc w:val="both"/>
      </w:pPr>
      <w:r>
        <w:rPr>
          <w:rFonts w:ascii="宋体" w:hAnsi="宋体" w:eastAsia="宋体" w:cs="宋体"/>
          <w:b w:val="0"/>
          <w:bCs w:val="0"/>
          <w:sz w:val="24"/>
          <w:szCs w:val="24"/>
        </w:rPr>
        <w:t>（需明确选题的</w:t>
      </w:r>
      <w:r>
        <w:rPr>
          <w:rFonts w:hint="eastAsia" w:cs="宋体"/>
          <w:b w:val="0"/>
          <w:bCs w:val="0"/>
          <w:sz w:val="24"/>
          <w:szCs w:val="24"/>
          <w:lang w:val="en-US" w:eastAsia="zh-CN"/>
        </w:rPr>
        <w:t>形式与</w:t>
      </w:r>
      <w:r>
        <w:rPr>
          <w:rFonts w:ascii="宋体" w:hAnsi="宋体" w:eastAsia="宋体" w:cs="宋体"/>
          <w:b w:val="0"/>
          <w:bCs w:val="0"/>
          <w:sz w:val="24"/>
          <w:szCs w:val="24"/>
        </w:rPr>
        <w:t>具体要求）</w:t>
      </w:r>
    </w:p>
    <w:p w14:paraId="59C4AA67">
      <w:pPr>
        <w:spacing w:before="60" w:after="80" w:line="320" w:lineRule="auto"/>
        <w:ind w:firstLine="480"/>
        <w:jc w:val="both"/>
        <w:rPr>
          <w:rFonts w:hint="eastAsia" w:ascii="仿宋" w:hAnsi="仿宋" w:eastAsia="仿宋" w:cs="仿宋"/>
          <w:color w:val="404040"/>
          <w:sz w:val="21"/>
          <w:szCs w:val="21"/>
          <w:lang w:val="en-US" w:eastAsia="zh-CN"/>
        </w:rPr>
      </w:pPr>
      <w:r>
        <w:rPr>
          <w:rFonts w:ascii="黑体" w:hAnsi="黑体" w:eastAsia="黑体" w:cs="黑体"/>
          <w:b/>
          <w:bCs/>
          <w:color w:val="C00000"/>
          <w:sz w:val="21"/>
          <w:szCs w:val="21"/>
        </w:rPr>
        <w:t>【撰写要求】</w:t>
      </w:r>
      <w:r>
        <w:rPr>
          <w:rFonts w:ascii="仿宋" w:hAnsi="仿宋" w:eastAsia="仿宋" w:cs="仿宋"/>
          <w:color w:val="404040"/>
          <w:sz w:val="21"/>
          <w:szCs w:val="21"/>
        </w:rPr>
        <w:t>①选题应面向行业实际需求，具有实际应用价值，</w:t>
      </w:r>
      <w:r>
        <w:rPr>
          <w:rFonts w:hint="eastAsia" w:ascii="仿宋" w:hAnsi="仿宋" w:eastAsia="仿宋" w:cs="仿宋"/>
          <w:color w:val="404040"/>
          <w:sz w:val="21"/>
          <w:szCs w:val="21"/>
          <w:lang w:val="en-US" w:eastAsia="zh-CN"/>
        </w:rPr>
        <w:t>应</w:t>
      </w:r>
      <w:r>
        <w:rPr>
          <w:rFonts w:ascii="仿宋" w:hAnsi="仿宋" w:eastAsia="仿宋" w:cs="仿宋"/>
          <w:color w:val="404040"/>
          <w:sz w:val="21"/>
          <w:szCs w:val="21"/>
        </w:rPr>
        <w:t>与行业实践紧密结合；②学位论文</w:t>
      </w:r>
      <w:r>
        <w:rPr>
          <w:rFonts w:hint="eastAsia" w:ascii="仿宋" w:hAnsi="仿宋" w:eastAsia="仿宋" w:cs="仿宋"/>
          <w:color w:val="404040"/>
          <w:sz w:val="21"/>
          <w:szCs w:val="21"/>
          <w:lang w:val="en-US" w:eastAsia="zh-CN"/>
        </w:rPr>
        <w:t>或申请学位实践成果的形式须符合本专业教育部研究生教指委的基本要求</w:t>
      </w:r>
      <w:r>
        <w:rPr>
          <w:rFonts w:ascii="仿宋" w:hAnsi="仿宋" w:eastAsia="仿宋" w:cs="仿宋"/>
          <w:color w:val="404040"/>
          <w:sz w:val="21"/>
          <w:szCs w:val="21"/>
        </w:rPr>
        <w:t>；③</w:t>
      </w:r>
      <w:r>
        <w:rPr>
          <w:rFonts w:hint="eastAsia" w:ascii="仿宋" w:hAnsi="仿宋" w:eastAsia="仿宋" w:cs="仿宋"/>
          <w:color w:val="404040"/>
          <w:sz w:val="21"/>
          <w:szCs w:val="21"/>
          <w:lang w:val="en-US" w:eastAsia="zh-CN"/>
        </w:rPr>
        <w:t>鼓励采用实践成果申请学位，并建立本专业类别的实践成果评审制度与标准。</w:t>
      </w:r>
    </w:p>
    <w:p w14:paraId="140B6BE6">
      <w:pPr>
        <w:spacing w:before="40" w:after="80" w:line="320" w:lineRule="auto"/>
        <w:ind w:firstLine="480"/>
        <w:jc w:val="both"/>
      </w:pPr>
      <w:r>
        <w:rPr>
          <w:rFonts w:ascii="黑体" w:hAnsi="黑体" w:eastAsia="黑体" w:cs="黑体"/>
          <w:b/>
          <w:bCs/>
          <w:color w:val="0070C0"/>
          <w:sz w:val="21"/>
          <w:szCs w:val="21"/>
        </w:rPr>
        <w:t>【参考文件】</w:t>
      </w:r>
      <w:r>
        <w:rPr>
          <w:rFonts w:ascii="仿宋" w:hAnsi="仿宋" w:eastAsia="仿宋" w:cs="仿宋"/>
          <w:color w:val="404040"/>
          <w:sz w:val="21"/>
          <w:szCs w:val="21"/>
        </w:rPr>
        <w:t>《南京中医药大学研究生学位论文与申请学位实践成果开题管理办法》（南中医大研字〔2025〕2</w:t>
      </w:r>
      <w:r>
        <w:rPr>
          <w:rFonts w:hint="eastAsia" w:ascii="仿宋" w:hAnsi="仿宋" w:eastAsia="仿宋" w:cs="仿宋"/>
          <w:color w:val="404040"/>
          <w:sz w:val="21"/>
          <w:szCs w:val="21"/>
          <w:lang w:val="en-US" w:eastAsia="zh-CN"/>
        </w:rPr>
        <w:t>5</w:t>
      </w:r>
      <w:r>
        <w:rPr>
          <w:rFonts w:ascii="仿宋" w:hAnsi="仿宋" w:eastAsia="仿宋" w:cs="仿宋"/>
          <w:color w:val="404040"/>
          <w:sz w:val="21"/>
          <w:szCs w:val="21"/>
        </w:rPr>
        <w:t>号）。</w:t>
      </w:r>
    </w:p>
    <w:p w14:paraId="27ECFE8F">
      <w:pPr>
        <w:spacing w:before="0" w:after="60" w:line="360" w:lineRule="auto"/>
        <w:ind w:firstLine="480"/>
        <w:jc w:val="both"/>
      </w:pPr>
      <w:r>
        <w:rPr>
          <w:rFonts w:ascii="宋体" w:hAnsi="宋体" w:eastAsia="宋体" w:cs="宋体"/>
          <w:b/>
          <w:bCs/>
          <w:sz w:val="24"/>
          <w:szCs w:val="24"/>
        </w:rPr>
        <w:t>（2）中期检查</w:t>
      </w:r>
    </w:p>
    <w:p w14:paraId="634B4792">
      <w:pPr>
        <w:spacing w:before="0" w:after="60" w:line="360" w:lineRule="auto"/>
        <w:ind w:firstLine="480"/>
        <w:jc w:val="both"/>
      </w:pPr>
      <w:r>
        <w:rPr>
          <w:rFonts w:ascii="宋体" w:hAnsi="宋体" w:eastAsia="宋体" w:cs="宋体"/>
          <w:b w:val="0"/>
          <w:bCs w:val="0"/>
          <w:sz w:val="24"/>
          <w:szCs w:val="24"/>
        </w:rPr>
        <w:t>（需明确检查标准）</w:t>
      </w:r>
    </w:p>
    <w:p w14:paraId="7430152F">
      <w:pPr>
        <w:spacing w:before="60" w:after="80" w:line="320" w:lineRule="auto"/>
        <w:ind w:firstLine="480"/>
        <w:jc w:val="both"/>
        <w:rPr>
          <w:rFonts w:hint="default" w:ascii="仿宋" w:hAnsi="仿宋" w:eastAsia="仿宋" w:cs="仿宋"/>
          <w:color w:val="404040"/>
          <w:sz w:val="21"/>
          <w:szCs w:val="21"/>
          <w:lang w:val="en-US" w:eastAsia="zh-CN"/>
        </w:rPr>
      </w:pPr>
      <w:r>
        <w:rPr>
          <w:rFonts w:ascii="黑体" w:hAnsi="黑体" w:eastAsia="黑体" w:cs="黑体"/>
          <w:b/>
          <w:bCs/>
          <w:color w:val="C00000"/>
          <w:sz w:val="21"/>
          <w:szCs w:val="21"/>
        </w:rPr>
        <w:t>【撰写要求】</w:t>
      </w:r>
      <w:r>
        <w:rPr>
          <w:rFonts w:ascii="仿宋" w:hAnsi="仿宋" w:eastAsia="仿宋" w:cs="仿宋"/>
          <w:color w:val="404040"/>
          <w:sz w:val="21"/>
          <w:szCs w:val="21"/>
        </w:rPr>
        <w:t>①</w:t>
      </w:r>
      <w:r>
        <w:rPr>
          <w:rFonts w:hint="eastAsia" w:ascii="仿宋" w:hAnsi="仿宋" w:eastAsia="仿宋" w:cs="仿宋"/>
          <w:color w:val="404040"/>
          <w:sz w:val="21"/>
          <w:szCs w:val="21"/>
          <w:lang w:val="en-US" w:eastAsia="zh-CN"/>
        </w:rPr>
        <w:t>明确本专业类别中期检查的标准。</w:t>
      </w:r>
      <w:r>
        <w:rPr>
          <w:rFonts w:ascii="仿宋" w:hAnsi="仿宋" w:eastAsia="仿宋" w:cs="仿宋"/>
          <w:color w:val="404040"/>
          <w:sz w:val="21"/>
          <w:szCs w:val="21"/>
        </w:rPr>
        <w:t>②中期检查应重点考察</w:t>
      </w:r>
      <w:r>
        <w:rPr>
          <w:rFonts w:hint="eastAsia" w:ascii="仿宋" w:hAnsi="仿宋" w:eastAsia="仿宋" w:cs="仿宋"/>
          <w:color w:val="404040"/>
          <w:sz w:val="21"/>
          <w:szCs w:val="21"/>
          <w:lang w:val="en-US" w:eastAsia="zh-CN"/>
        </w:rPr>
        <w:t>学位论文与</w:t>
      </w:r>
      <w:r>
        <w:rPr>
          <w:rFonts w:ascii="仿宋" w:hAnsi="仿宋" w:eastAsia="仿宋" w:cs="仿宋"/>
          <w:color w:val="404040"/>
          <w:sz w:val="21"/>
          <w:szCs w:val="21"/>
        </w:rPr>
        <w:t>实践成果的进展和质量，确保按计划推进。③</w:t>
      </w:r>
      <w:r>
        <w:rPr>
          <w:rFonts w:hint="eastAsia" w:ascii="仿宋" w:hAnsi="仿宋" w:eastAsia="仿宋" w:cs="仿宋"/>
          <w:color w:val="404040"/>
          <w:sz w:val="21"/>
          <w:szCs w:val="21"/>
          <w:lang w:val="en-US" w:eastAsia="zh-CN"/>
        </w:rPr>
        <w:t>明确学位论文与实践成果的质量保障机制。</w:t>
      </w:r>
    </w:p>
    <w:p w14:paraId="1C9362B4">
      <w:pPr>
        <w:spacing w:before="40" w:after="80" w:line="320" w:lineRule="auto"/>
        <w:ind w:firstLine="480"/>
        <w:jc w:val="both"/>
      </w:pPr>
      <w:r>
        <w:rPr>
          <w:rFonts w:ascii="黑体" w:hAnsi="黑体" w:eastAsia="黑体" w:cs="黑体"/>
          <w:b/>
          <w:bCs/>
          <w:color w:val="0070C0"/>
          <w:sz w:val="21"/>
          <w:szCs w:val="21"/>
        </w:rPr>
        <w:t>【参考文件】</w:t>
      </w:r>
      <w:r>
        <w:rPr>
          <w:rFonts w:ascii="仿宋" w:hAnsi="仿宋" w:eastAsia="仿宋" w:cs="仿宋"/>
          <w:color w:val="404040"/>
          <w:sz w:val="21"/>
          <w:szCs w:val="21"/>
        </w:rPr>
        <w:t>1.《南京中医药大学研究生中期考核管理办法》（南中医大研字〔2025〕26号）。</w:t>
      </w:r>
    </w:p>
    <w:p w14:paraId="510B438F">
      <w:pPr>
        <w:spacing w:before="0" w:after="60" w:line="360" w:lineRule="auto"/>
        <w:ind w:firstLine="480"/>
        <w:jc w:val="both"/>
      </w:pPr>
      <w:r>
        <w:rPr>
          <w:rFonts w:ascii="宋体" w:hAnsi="宋体" w:eastAsia="宋体" w:cs="宋体"/>
          <w:b/>
          <w:bCs/>
          <w:sz w:val="24"/>
          <w:szCs w:val="24"/>
        </w:rPr>
        <w:t>（3）实践记录与原始资料</w:t>
      </w:r>
    </w:p>
    <w:p w14:paraId="297793D7">
      <w:pPr>
        <w:spacing w:before="0" w:after="60" w:line="360" w:lineRule="auto"/>
        <w:ind w:firstLine="480"/>
        <w:jc w:val="both"/>
      </w:pPr>
      <w:r>
        <w:rPr>
          <w:rFonts w:ascii="宋体" w:hAnsi="宋体" w:eastAsia="宋体" w:cs="宋体"/>
          <w:b w:val="0"/>
          <w:bCs w:val="0"/>
          <w:sz w:val="24"/>
          <w:szCs w:val="24"/>
        </w:rPr>
        <w:t>（明确实践记录和原始资料的管理要求）</w:t>
      </w:r>
    </w:p>
    <w:p w14:paraId="424CF804">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①研究生应完整记录实践过程，包括实践日志、实验/调研记录、数据资料等；②原始资料应真实、完整、可追溯，保存期限不少于5年；③涉及人类遗传资源、生物安全、数据安全等敏感信息的，应按照国家相关法律法规管理；④行业导师应定期审核实践记录，校内导师应每季度检查一次；⑤实践记录与原始资料是学位论文（实践成果）答辩和质量追溯的重要依据。</w:t>
      </w:r>
    </w:p>
    <w:p w14:paraId="39A5E9CA">
      <w:pPr>
        <w:numPr>
          <w:ilvl w:val="0"/>
          <w:numId w:val="1"/>
        </w:numPr>
        <w:spacing w:before="0" w:after="60" w:line="360" w:lineRule="auto"/>
        <w:ind w:firstLine="480"/>
        <w:jc w:val="both"/>
        <w:rPr>
          <w:rFonts w:ascii="宋体" w:hAnsi="宋体" w:eastAsia="宋体" w:cs="宋体"/>
          <w:b/>
          <w:bCs/>
          <w:sz w:val="24"/>
          <w:szCs w:val="24"/>
        </w:rPr>
      </w:pPr>
      <w:r>
        <w:rPr>
          <w:rFonts w:ascii="宋体" w:hAnsi="宋体" w:eastAsia="宋体" w:cs="宋体"/>
          <w:b/>
          <w:bCs/>
          <w:sz w:val="24"/>
          <w:szCs w:val="24"/>
        </w:rPr>
        <w:t>学位论文</w:t>
      </w:r>
      <w:r>
        <w:rPr>
          <w:rFonts w:hint="eastAsia" w:cs="宋体"/>
          <w:b/>
          <w:bCs/>
          <w:sz w:val="24"/>
          <w:szCs w:val="24"/>
          <w:lang w:val="en-US" w:eastAsia="zh-CN"/>
        </w:rPr>
        <w:t>与</w:t>
      </w:r>
      <w:r>
        <w:rPr>
          <w:rFonts w:ascii="宋体" w:hAnsi="宋体" w:eastAsia="宋体" w:cs="宋体"/>
          <w:b/>
          <w:bCs/>
          <w:sz w:val="24"/>
          <w:szCs w:val="24"/>
        </w:rPr>
        <w:t>实践成果</w:t>
      </w:r>
      <w:r>
        <w:rPr>
          <w:rFonts w:hint="eastAsia" w:cs="宋体"/>
          <w:b/>
          <w:bCs/>
          <w:sz w:val="24"/>
          <w:szCs w:val="24"/>
          <w:lang w:val="en-US" w:eastAsia="zh-CN"/>
        </w:rPr>
        <w:t>的撰写、评价与答辩</w:t>
      </w:r>
    </w:p>
    <w:p w14:paraId="0A7FC3FD">
      <w:pPr>
        <w:numPr>
          <w:ilvl w:val="0"/>
          <w:numId w:val="0"/>
        </w:numPr>
        <w:spacing w:before="0" w:after="60" w:line="360" w:lineRule="auto"/>
        <w:ind w:leftChars="200"/>
        <w:jc w:val="both"/>
      </w:pPr>
      <w:r>
        <w:rPr>
          <w:rFonts w:ascii="宋体" w:hAnsi="宋体" w:eastAsia="宋体" w:cs="宋体"/>
          <w:b w:val="0"/>
          <w:bCs w:val="0"/>
          <w:sz w:val="24"/>
          <w:szCs w:val="24"/>
        </w:rPr>
        <w:t>（需明确</w:t>
      </w:r>
      <w:r>
        <w:rPr>
          <w:rFonts w:hint="eastAsia" w:cs="宋体"/>
          <w:b w:val="0"/>
          <w:bCs w:val="0"/>
          <w:sz w:val="24"/>
          <w:szCs w:val="24"/>
          <w:lang w:val="en-US" w:eastAsia="zh-CN"/>
        </w:rPr>
        <w:t>学位</w:t>
      </w:r>
      <w:r>
        <w:rPr>
          <w:rFonts w:ascii="宋体" w:hAnsi="宋体" w:eastAsia="宋体" w:cs="宋体"/>
          <w:b w:val="0"/>
          <w:bCs w:val="0"/>
          <w:sz w:val="24"/>
          <w:szCs w:val="24"/>
        </w:rPr>
        <w:t>论文与</w:t>
      </w:r>
      <w:r>
        <w:rPr>
          <w:rFonts w:hint="eastAsia" w:cs="宋体"/>
          <w:b w:val="0"/>
          <w:bCs w:val="0"/>
          <w:sz w:val="24"/>
          <w:szCs w:val="24"/>
          <w:lang w:val="en-US" w:eastAsia="zh-CN"/>
        </w:rPr>
        <w:t>申请学位实践</w:t>
      </w:r>
      <w:r>
        <w:rPr>
          <w:rFonts w:ascii="宋体" w:hAnsi="宋体" w:eastAsia="宋体" w:cs="宋体"/>
          <w:b w:val="0"/>
          <w:bCs w:val="0"/>
          <w:sz w:val="24"/>
          <w:szCs w:val="24"/>
        </w:rPr>
        <w:t>成果的形式与质量要求）</w:t>
      </w:r>
    </w:p>
    <w:p w14:paraId="7F1A9EEA">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①形式要求：学位论文（实践成果）应格式规范、逻辑清晰、数据翔实、结论可靠，</w:t>
      </w:r>
      <w:r>
        <w:rPr>
          <w:rFonts w:hint="eastAsia" w:ascii="仿宋" w:hAnsi="仿宋" w:eastAsia="仿宋" w:cs="仿宋"/>
          <w:color w:val="404040"/>
          <w:sz w:val="21"/>
          <w:szCs w:val="21"/>
          <w:lang w:val="en-US" w:eastAsia="zh-CN"/>
        </w:rPr>
        <w:t>符合</w:t>
      </w:r>
      <w:r>
        <w:rPr>
          <w:rFonts w:ascii="仿宋" w:hAnsi="仿宋" w:eastAsia="仿宋" w:cs="仿宋"/>
          <w:color w:val="404040"/>
          <w:sz w:val="21"/>
          <w:szCs w:val="21"/>
        </w:rPr>
        <w:t>按各专业教指委要求；②质量要求：应体现作者综合运用专业理论和方法解决实际问题的能力，成果应具有创新性、实用性和社会效益；③同行评价：实行</w:t>
      </w:r>
      <w:r>
        <w:rPr>
          <w:rFonts w:hint="eastAsia" w:ascii="仿宋" w:hAnsi="仿宋" w:eastAsia="仿宋" w:cs="仿宋"/>
          <w:color w:val="404040"/>
          <w:sz w:val="21"/>
          <w:szCs w:val="21"/>
          <w:lang w:val="en-US" w:eastAsia="zh-CN"/>
        </w:rPr>
        <w:t>同行</w:t>
      </w:r>
      <w:r>
        <w:rPr>
          <w:rFonts w:ascii="仿宋" w:hAnsi="仿宋" w:eastAsia="仿宋" w:cs="仿宋"/>
          <w:color w:val="404040"/>
          <w:sz w:val="21"/>
          <w:szCs w:val="21"/>
        </w:rPr>
        <w:t>专家</w:t>
      </w:r>
      <w:r>
        <w:rPr>
          <w:rFonts w:hint="eastAsia" w:ascii="仿宋" w:hAnsi="仿宋" w:eastAsia="仿宋" w:cs="仿宋"/>
          <w:color w:val="404040"/>
          <w:sz w:val="21"/>
          <w:szCs w:val="21"/>
          <w:lang w:val="en-US" w:eastAsia="zh-CN"/>
        </w:rPr>
        <w:t>评审</w:t>
      </w:r>
      <w:r>
        <w:rPr>
          <w:rFonts w:ascii="仿宋" w:hAnsi="仿宋" w:eastAsia="仿宋" w:cs="仿宋"/>
          <w:color w:val="404040"/>
          <w:sz w:val="21"/>
          <w:szCs w:val="21"/>
        </w:rPr>
        <w:t>制度，评审通过方可进入答辩环节；④鉴定：实践成果需经行业专家鉴定，鉴定意见作为答辩参考；⑤答辩：答辩委员会</w:t>
      </w:r>
      <w:r>
        <w:rPr>
          <w:rFonts w:hint="eastAsia" w:ascii="仿宋" w:hAnsi="仿宋" w:eastAsia="仿宋" w:cs="仿宋"/>
          <w:color w:val="404040"/>
          <w:sz w:val="21"/>
          <w:szCs w:val="21"/>
          <w:lang w:val="en-US" w:eastAsia="zh-CN"/>
        </w:rPr>
        <w:t>应有行业专家参加</w:t>
      </w:r>
      <w:r>
        <w:rPr>
          <w:rFonts w:ascii="仿宋" w:hAnsi="仿宋" w:eastAsia="仿宋" w:cs="仿宋"/>
          <w:color w:val="404040"/>
          <w:sz w:val="21"/>
          <w:szCs w:val="21"/>
        </w:rPr>
        <w:t>，以无记名投票方式表决。</w:t>
      </w:r>
    </w:p>
    <w:p w14:paraId="6908C0A3">
      <w:pPr>
        <w:spacing w:before="40" w:after="80" w:line="320" w:lineRule="auto"/>
        <w:ind w:firstLine="480"/>
        <w:jc w:val="both"/>
      </w:pPr>
      <w:r>
        <w:rPr>
          <w:rFonts w:ascii="黑体" w:hAnsi="黑体" w:eastAsia="黑体" w:cs="黑体"/>
          <w:b/>
          <w:bCs/>
          <w:color w:val="0070C0"/>
          <w:sz w:val="21"/>
          <w:szCs w:val="21"/>
        </w:rPr>
        <w:t>【参考文件】</w:t>
      </w:r>
      <w:r>
        <w:rPr>
          <w:rFonts w:ascii="仿宋" w:hAnsi="仿宋" w:eastAsia="仿宋" w:cs="仿宋"/>
          <w:color w:val="404040"/>
          <w:sz w:val="21"/>
          <w:szCs w:val="21"/>
        </w:rPr>
        <w:t>1.《南京中医药大学研究生学位论文或申请学位实践成果评阅与质量管理办法》（南中医大研字〔2025〕24号）；2.教育部专业学位研究生教指委各专业实践成果申请学位基本要求；3.《</w:t>
      </w:r>
      <w:r>
        <w:rPr>
          <w:rFonts w:hint="eastAsia" w:ascii="仿宋" w:hAnsi="仿宋" w:eastAsia="仿宋" w:cs="仿宋"/>
          <w:color w:val="404040"/>
          <w:sz w:val="21"/>
          <w:szCs w:val="21"/>
        </w:rPr>
        <w:t>南京中医药大学研究生毕业与学位授予管理办法</w:t>
      </w:r>
      <w:r>
        <w:rPr>
          <w:rFonts w:ascii="仿宋" w:hAnsi="仿宋" w:eastAsia="仿宋" w:cs="仿宋"/>
          <w:color w:val="404040"/>
          <w:sz w:val="21"/>
          <w:szCs w:val="21"/>
        </w:rPr>
        <w:t>》</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rPr>
        <w:t>南中医大研宇[2025]23号</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w:t>
      </w:r>
    </w:p>
    <w:p w14:paraId="0579D31A">
      <w:pPr>
        <w:spacing w:before="0" w:after="0"/>
      </w:pPr>
    </w:p>
    <w:p w14:paraId="49D9D9FE">
      <w:pPr>
        <w:spacing w:before="240" w:after="120" w:line="360" w:lineRule="auto"/>
        <w:ind w:firstLine="0"/>
        <w:jc w:val="left"/>
      </w:pPr>
      <w:r>
        <w:rPr>
          <w:rFonts w:hint="eastAsia" w:ascii="黑体" w:hAnsi="黑体" w:eastAsia="黑体" w:cs="黑体"/>
          <w:b/>
          <w:bCs/>
          <w:sz w:val="32"/>
          <w:szCs w:val="32"/>
          <w:lang w:val="en-US" w:eastAsia="zh-CN"/>
        </w:rPr>
        <w:t>六</w:t>
      </w:r>
      <w:r>
        <w:rPr>
          <w:rFonts w:ascii="黑体" w:hAnsi="黑体" w:eastAsia="黑体" w:cs="黑体"/>
          <w:b/>
          <w:bCs/>
          <w:sz w:val="32"/>
          <w:szCs w:val="32"/>
        </w:rPr>
        <w:t>、中期考核</w:t>
      </w:r>
    </w:p>
    <w:p w14:paraId="5F27EDAE">
      <w:pPr>
        <w:spacing w:before="0" w:after="60" w:line="360" w:lineRule="auto"/>
        <w:ind w:firstLine="480"/>
        <w:jc w:val="both"/>
      </w:pPr>
      <w:r>
        <w:rPr>
          <w:rFonts w:ascii="宋体" w:hAnsi="宋体" w:eastAsia="宋体" w:cs="宋体"/>
          <w:b w:val="0"/>
          <w:bCs w:val="0"/>
          <w:sz w:val="24"/>
          <w:szCs w:val="24"/>
        </w:rPr>
        <w:t>（明确中期考核的时间、内容、形式与结果处理。）</w:t>
      </w:r>
    </w:p>
    <w:p w14:paraId="5DD0A083">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①考核时间：一般在第四学期</w:t>
      </w:r>
      <w:r>
        <w:rPr>
          <w:rFonts w:hint="eastAsia" w:ascii="仿宋" w:hAnsi="仿宋" w:eastAsia="仿宋" w:cs="仿宋"/>
          <w:color w:val="404040"/>
          <w:sz w:val="21"/>
          <w:szCs w:val="21"/>
          <w:lang w:val="en-US" w:eastAsia="zh-CN"/>
        </w:rPr>
        <w:t>结束前完成</w:t>
      </w:r>
      <w:r>
        <w:rPr>
          <w:rFonts w:ascii="仿宋" w:hAnsi="仿宋" w:eastAsia="仿宋" w:cs="仿宋"/>
          <w:color w:val="404040"/>
          <w:sz w:val="21"/>
          <w:szCs w:val="21"/>
        </w:rPr>
        <w:t>；②考核内容：思想政治素质、课程学习情况、行业实践进展、学位论文（实践成果）开题及进展、学术规范与学术道德等；③考核形式：④考核结果</w:t>
      </w:r>
      <w:r>
        <w:rPr>
          <w:rFonts w:hint="eastAsia" w:ascii="仿宋" w:hAnsi="仿宋" w:eastAsia="仿宋" w:cs="仿宋"/>
          <w:color w:val="404040"/>
          <w:sz w:val="21"/>
          <w:szCs w:val="21"/>
          <w:lang w:val="en-US" w:eastAsia="zh-CN"/>
        </w:rPr>
        <w:t>与整改措施</w:t>
      </w:r>
      <w:r>
        <w:rPr>
          <w:rFonts w:ascii="仿宋" w:hAnsi="仿宋" w:eastAsia="仿宋" w:cs="仿宋"/>
          <w:color w:val="404040"/>
          <w:sz w:val="21"/>
          <w:szCs w:val="21"/>
        </w:rPr>
        <w:t>：⑤中期考核与学位论文中期检查合并进行。</w:t>
      </w:r>
    </w:p>
    <w:p w14:paraId="0DBA95C2">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70C0"/>
          <w:sz w:val="21"/>
          <w:szCs w:val="21"/>
        </w:rPr>
        <w:t>【参考文件】</w:t>
      </w:r>
      <w:r>
        <w:rPr>
          <w:rFonts w:ascii="仿宋" w:hAnsi="仿宋" w:eastAsia="仿宋" w:cs="仿宋"/>
          <w:color w:val="404040"/>
          <w:sz w:val="21"/>
          <w:szCs w:val="21"/>
        </w:rPr>
        <w:t>1.《南京中医药大学研究生中期考核管理办法》（南中医大研字〔2025〕26号）；2.《南京中医药大学研究生学籍管理</w:t>
      </w:r>
      <w:r>
        <w:rPr>
          <w:rFonts w:hint="eastAsia" w:ascii="仿宋" w:hAnsi="仿宋" w:eastAsia="仿宋" w:cs="仿宋"/>
          <w:color w:val="404040"/>
          <w:sz w:val="21"/>
          <w:szCs w:val="21"/>
          <w:lang w:val="en-US" w:eastAsia="zh-CN"/>
        </w:rPr>
        <w:t>实施细则</w:t>
      </w:r>
      <w:r>
        <w:rPr>
          <w:rFonts w:ascii="仿宋" w:hAnsi="仿宋" w:eastAsia="仿宋" w:cs="仿宋"/>
          <w:color w:val="404040"/>
          <w:sz w:val="21"/>
          <w:szCs w:val="21"/>
        </w:rPr>
        <w:t>》（南中医大研字〔2025〕2</w:t>
      </w:r>
      <w:r>
        <w:rPr>
          <w:rFonts w:hint="eastAsia" w:ascii="仿宋" w:hAnsi="仿宋" w:eastAsia="仿宋" w:cs="仿宋"/>
          <w:color w:val="404040"/>
          <w:sz w:val="21"/>
          <w:szCs w:val="21"/>
          <w:lang w:val="en-US" w:eastAsia="zh-CN"/>
        </w:rPr>
        <w:t>9</w:t>
      </w:r>
      <w:r>
        <w:rPr>
          <w:rFonts w:ascii="仿宋" w:hAnsi="仿宋" w:eastAsia="仿宋" w:cs="仿宋"/>
          <w:color w:val="404040"/>
          <w:sz w:val="21"/>
          <w:szCs w:val="21"/>
        </w:rPr>
        <w:t>号）</w:t>
      </w:r>
    </w:p>
    <w:p w14:paraId="3C6D102C">
      <w:pPr>
        <w:spacing w:before="40" w:after="80" w:line="320" w:lineRule="auto"/>
        <w:ind w:firstLine="480"/>
        <w:jc w:val="both"/>
        <w:rPr>
          <w:rFonts w:ascii="仿宋" w:hAnsi="仿宋" w:eastAsia="仿宋" w:cs="仿宋"/>
          <w:color w:val="404040"/>
          <w:sz w:val="21"/>
          <w:szCs w:val="21"/>
        </w:rPr>
      </w:pPr>
    </w:p>
    <w:p w14:paraId="5BF70B20">
      <w:pPr>
        <w:spacing w:before="240" w:after="120" w:line="360" w:lineRule="auto"/>
        <w:ind w:firstLine="0"/>
        <w:jc w:val="left"/>
      </w:pPr>
      <w:r>
        <w:rPr>
          <w:rFonts w:hint="eastAsia" w:ascii="黑体" w:hAnsi="黑体" w:eastAsia="黑体" w:cs="黑体"/>
          <w:b/>
          <w:bCs/>
          <w:sz w:val="32"/>
          <w:szCs w:val="32"/>
          <w:lang w:val="en-US" w:eastAsia="zh-CN"/>
        </w:rPr>
        <w:t>七</w:t>
      </w:r>
      <w:r>
        <w:rPr>
          <w:rFonts w:ascii="黑体" w:hAnsi="黑体" w:eastAsia="黑体" w:cs="黑体"/>
          <w:b/>
          <w:bCs/>
          <w:sz w:val="32"/>
          <w:szCs w:val="32"/>
        </w:rPr>
        <w:t>、毕业与学位授予</w:t>
      </w:r>
    </w:p>
    <w:p w14:paraId="1CF4529B">
      <w:pPr>
        <w:spacing w:before="0" w:after="60" w:line="360" w:lineRule="auto"/>
        <w:ind w:firstLine="480"/>
        <w:jc w:val="both"/>
      </w:pPr>
      <w:r>
        <w:rPr>
          <w:rFonts w:ascii="宋体" w:hAnsi="宋体" w:eastAsia="宋体" w:cs="宋体"/>
          <w:b w:val="0"/>
          <w:bCs w:val="0"/>
          <w:sz w:val="24"/>
          <w:szCs w:val="24"/>
        </w:rPr>
        <w:t>（明确毕业条件和学位授予标准。）</w:t>
      </w:r>
    </w:p>
    <w:p w14:paraId="58E9EBCB">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①毕业条件</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②学位授予：③</w:t>
      </w:r>
      <w:r>
        <w:rPr>
          <w:rFonts w:hint="eastAsia" w:ascii="仿宋" w:hAnsi="仿宋" w:eastAsia="仿宋" w:cs="仿宋"/>
          <w:color w:val="404040"/>
          <w:sz w:val="21"/>
          <w:szCs w:val="21"/>
        </w:rPr>
        <w:t>职业相关要求；④学科专业关于毕业学位的其他要求</w:t>
      </w:r>
      <w:r>
        <w:rPr>
          <w:rFonts w:hint="eastAsia" w:ascii="仿宋" w:hAnsi="仿宋" w:eastAsia="仿宋" w:cs="仿宋"/>
          <w:color w:val="404040"/>
          <w:sz w:val="21"/>
          <w:szCs w:val="21"/>
          <w:lang w:eastAsia="zh-CN"/>
        </w:rPr>
        <w:t>；⑤</w:t>
      </w:r>
      <w:r>
        <w:rPr>
          <w:rFonts w:ascii="仿宋" w:hAnsi="仿宋" w:eastAsia="仿宋" w:cs="仿宋"/>
          <w:color w:val="404040"/>
          <w:sz w:val="21"/>
          <w:szCs w:val="21"/>
        </w:rPr>
        <w:t>学位授予的例外情形（如学术不端一票否决等）；</w:t>
      </w:r>
      <w:r>
        <w:rPr>
          <w:rFonts w:hint="eastAsia" w:ascii="仿宋" w:hAnsi="仿宋" w:eastAsia="仿宋" w:cs="仿宋"/>
          <w:color w:val="404040"/>
          <w:sz w:val="21"/>
          <w:szCs w:val="21"/>
        </w:rPr>
        <w:t>⑥</w:t>
      </w:r>
      <w:r>
        <w:rPr>
          <w:rFonts w:ascii="仿宋" w:hAnsi="仿宋" w:eastAsia="仿宋" w:cs="仿宋"/>
          <w:color w:val="404040"/>
          <w:sz w:val="21"/>
          <w:szCs w:val="21"/>
        </w:rPr>
        <w:t>应明确实践成果申请学位的具体要求与学术论文申请学位的等效关系。</w:t>
      </w:r>
    </w:p>
    <w:p w14:paraId="1F3DCC84">
      <w:pPr>
        <w:keepNext w:val="0"/>
        <w:keepLines w:val="0"/>
        <w:widowControl/>
        <w:suppressLineNumbers w:val="0"/>
        <w:jc w:val="both"/>
        <w:rPr>
          <w:rFonts w:hint="eastAsia" w:ascii="仿宋" w:hAnsi="仿宋" w:eastAsia="仿宋" w:cs="仿宋"/>
          <w:color w:val="auto"/>
          <w:sz w:val="21"/>
          <w:szCs w:val="21"/>
          <w:lang w:val="en-US" w:eastAsia="zh-CN"/>
        </w:rPr>
      </w:pPr>
      <w:r>
        <w:rPr>
          <w:rFonts w:ascii="黑体" w:hAnsi="黑体" w:eastAsia="黑体" w:cs="黑体"/>
          <w:b/>
          <w:bCs/>
          <w:color w:val="008080"/>
          <w:sz w:val="21"/>
          <w:szCs w:val="21"/>
        </w:rPr>
        <w:t>【撰写体例】</w:t>
      </w:r>
      <w:r>
        <w:rPr>
          <w:rFonts w:ascii="仿宋" w:hAnsi="仿宋" w:eastAsia="仿宋" w:cs="仿宋"/>
          <w:color w:val="404040"/>
          <w:sz w:val="21"/>
          <w:szCs w:val="21"/>
        </w:rPr>
        <w:t>示例：</w:t>
      </w:r>
      <w:r>
        <w:rPr>
          <w:rFonts w:ascii="仿宋" w:hAnsi="仿宋" w:eastAsia="仿宋" w:cs="仿宋"/>
          <w:color w:val="auto"/>
          <w:sz w:val="21"/>
          <w:szCs w:val="21"/>
        </w:rPr>
        <w:t>研究生在规定学习年限内，修满培养方案规定的学分，完成行业学习与交流、行业实践等全部培养环节，通过学位论文（实践成果）答辩，</w:t>
      </w:r>
      <w:r>
        <w:rPr>
          <w:rFonts w:hint="eastAsia" w:ascii="仿宋" w:hAnsi="仿宋" w:eastAsia="仿宋" w:cs="仿宋"/>
          <w:color w:val="auto"/>
          <w:sz w:val="21"/>
          <w:szCs w:val="21"/>
          <w:lang w:val="en-US" w:eastAsia="zh-CN"/>
        </w:rPr>
        <w:t>即获得毕业资格，经所在培养单位和研究生院审核，准予毕业。</w:t>
      </w:r>
    </w:p>
    <w:p w14:paraId="4D8667AE">
      <w:pPr>
        <w:keepNext w:val="0"/>
        <w:keepLines w:val="0"/>
        <w:widowControl/>
        <w:suppressLineNumbers w:val="0"/>
        <w:jc w:val="both"/>
        <w:rPr>
          <w:rFonts w:ascii="仿宋" w:hAnsi="仿宋" w:eastAsia="仿宋" w:cs="仿宋"/>
          <w:color w:val="auto"/>
          <w:sz w:val="21"/>
          <w:szCs w:val="21"/>
        </w:rPr>
      </w:pPr>
      <w:r>
        <w:rPr>
          <w:rFonts w:hint="eastAsia" w:ascii="仿宋" w:hAnsi="仿宋" w:eastAsia="仿宋" w:cs="仿宋"/>
          <w:color w:val="auto"/>
          <w:sz w:val="21"/>
          <w:szCs w:val="21"/>
          <w:lang w:val="en-US" w:eastAsia="zh-CN"/>
        </w:rPr>
        <w:t>获得毕业资格，同时符合《南京中医药大学研究生毕业与学位授予管理办法》中“学位授予条件”的相关规定，经学位评定分委员会和学位评定委员会审议，授予相应层次类型的</w:t>
      </w:r>
      <w:r>
        <w:rPr>
          <w:rFonts w:ascii="仿宋" w:hAnsi="仿宋" w:eastAsia="仿宋" w:cs="仿宋"/>
          <w:color w:val="auto"/>
          <w:sz w:val="21"/>
          <w:szCs w:val="21"/>
        </w:rPr>
        <w:t>学位</w:t>
      </w:r>
      <w:r>
        <w:rPr>
          <w:rFonts w:hint="eastAsia" w:ascii="仿宋" w:hAnsi="仿宋" w:eastAsia="仿宋" w:cs="仿宋"/>
          <w:color w:val="auto"/>
          <w:sz w:val="21"/>
          <w:szCs w:val="21"/>
          <w:lang w:val="en-US" w:eastAsia="zh-CN"/>
        </w:rPr>
        <w:t>。</w:t>
      </w:r>
      <w:r>
        <w:rPr>
          <w:rFonts w:ascii="仿宋" w:hAnsi="仿宋" w:eastAsia="仿宋" w:cs="仿宋"/>
          <w:color w:val="auto"/>
          <w:sz w:val="21"/>
          <w:szCs w:val="21"/>
        </w:rPr>
        <w:t>存在学术不端行为的，实行一票否决。</w:t>
      </w:r>
    </w:p>
    <w:p w14:paraId="233E1F8A">
      <w:pPr>
        <w:spacing w:before="40" w:after="80" w:line="320" w:lineRule="auto"/>
        <w:ind w:firstLine="480"/>
        <w:jc w:val="both"/>
      </w:pPr>
      <w:r>
        <w:rPr>
          <w:rFonts w:ascii="黑体" w:hAnsi="黑体" w:eastAsia="黑体" w:cs="黑体"/>
          <w:b/>
          <w:bCs/>
          <w:color w:val="0070C0"/>
          <w:sz w:val="21"/>
          <w:szCs w:val="21"/>
        </w:rPr>
        <w:t>【参考文件】</w:t>
      </w:r>
      <w:r>
        <w:rPr>
          <w:rFonts w:ascii="仿宋" w:hAnsi="仿宋" w:eastAsia="仿宋" w:cs="仿宋"/>
          <w:color w:val="404040"/>
          <w:sz w:val="21"/>
          <w:szCs w:val="21"/>
        </w:rPr>
        <w:t>1.《</w:t>
      </w:r>
      <w:r>
        <w:rPr>
          <w:rFonts w:hint="eastAsia" w:ascii="仿宋" w:hAnsi="仿宋" w:eastAsia="仿宋" w:cs="仿宋"/>
          <w:color w:val="404040"/>
          <w:sz w:val="21"/>
          <w:szCs w:val="21"/>
        </w:rPr>
        <w:t>南京中医药大学研究生毕业与学位授予管理办法</w:t>
      </w:r>
      <w:r>
        <w:rPr>
          <w:rFonts w:ascii="仿宋" w:hAnsi="仿宋" w:eastAsia="仿宋" w:cs="仿宋"/>
          <w:color w:val="404040"/>
          <w:sz w:val="21"/>
          <w:szCs w:val="21"/>
        </w:rPr>
        <w:t>》</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rPr>
        <w:t>南中医大研宇[2025]23号</w:t>
      </w:r>
      <w:r>
        <w:rPr>
          <w:rFonts w:hint="eastAsia" w:ascii="仿宋" w:hAnsi="仿宋" w:eastAsia="仿宋" w:cs="仿宋"/>
          <w:color w:val="404040"/>
          <w:sz w:val="21"/>
          <w:szCs w:val="21"/>
          <w:lang w:eastAsia="zh-CN"/>
        </w:rPr>
        <w:t>）</w:t>
      </w:r>
      <w:r>
        <w:rPr>
          <w:rFonts w:ascii="仿宋" w:hAnsi="仿宋" w:eastAsia="仿宋" w:cs="仿宋"/>
          <w:color w:val="404040"/>
          <w:sz w:val="21"/>
          <w:szCs w:val="21"/>
        </w:rPr>
        <w:t>；2.《南京中医药大学研究生学位论文或申请学位实践成果评阅与质量管理办法》（南中医大研字〔2025〕24号）；</w:t>
      </w:r>
      <w:r>
        <w:rPr>
          <w:rFonts w:hint="eastAsia" w:ascii="仿宋" w:hAnsi="仿宋" w:eastAsia="仿宋" w:cs="仿宋"/>
          <w:color w:val="404040"/>
          <w:sz w:val="21"/>
          <w:szCs w:val="21"/>
          <w:lang w:val="en-US" w:eastAsia="zh-CN"/>
        </w:rPr>
        <w:t>3.</w:t>
      </w:r>
      <w:r>
        <w:rPr>
          <w:rFonts w:ascii="仿宋" w:hAnsi="仿宋" w:eastAsia="仿宋" w:cs="仿宋"/>
          <w:color w:val="404040"/>
          <w:sz w:val="21"/>
          <w:szCs w:val="21"/>
          <w:lang w:val="en-US" w:eastAsia="zh-CN"/>
        </w:rPr>
        <w:t>《南京中医药大学关于研</w:t>
      </w:r>
      <w:r>
        <w:rPr>
          <w:rFonts w:hint="eastAsia" w:ascii="仿宋" w:hAnsi="仿宋" w:eastAsia="仿宋" w:cs="仿宋"/>
          <w:color w:val="404040"/>
          <w:sz w:val="21"/>
          <w:szCs w:val="21"/>
          <w:lang w:val="en-US" w:eastAsia="zh-CN"/>
        </w:rPr>
        <w:t>究生申请硕士、博士学位科研成果的规定（2025 年修订）》</w:t>
      </w:r>
      <w:r>
        <w:rPr>
          <w:rFonts w:ascii="仿宋" w:hAnsi="仿宋" w:eastAsia="仿宋" w:cs="仿宋"/>
          <w:color w:val="404040"/>
          <w:sz w:val="21"/>
          <w:szCs w:val="21"/>
        </w:rPr>
        <w:t>（南中医大研字〔2025〕2</w:t>
      </w:r>
      <w:r>
        <w:rPr>
          <w:rFonts w:hint="eastAsia" w:ascii="仿宋" w:hAnsi="仿宋" w:eastAsia="仿宋" w:cs="仿宋"/>
          <w:color w:val="404040"/>
          <w:sz w:val="21"/>
          <w:szCs w:val="21"/>
          <w:lang w:val="en-US" w:eastAsia="zh-CN"/>
        </w:rPr>
        <w:t>7</w:t>
      </w:r>
      <w:r>
        <w:rPr>
          <w:rFonts w:ascii="仿宋" w:hAnsi="仿宋" w:eastAsia="仿宋" w:cs="仿宋"/>
          <w:color w:val="404040"/>
          <w:sz w:val="21"/>
          <w:szCs w:val="21"/>
        </w:rPr>
        <w:t>号）</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4</w:t>
      </w:r>
      <w:r>
        <w:rPr>
          <w:rFonts w:ascii="仿宋" w:hAnsi="仿宋" w:eastAsia="仿宋" w:cs="仿宋"/>
          <w:color w:val="404040"/>
          <w:sz w:val="21"/>
          <w:szCs w:val="21"/>
        </w:rPr>
        <w:t>.教育部专业学位研究生教指委各专业实践成果申请学位基本要求。</w:t>
      </w:r>
    </w:p>
    <w:p w14:paraId="70EEA306">
      <w:pPr>
        <w:spacing w:before="0" w:after="0"/>
      </w:pPr>
    </w:p>
    <w:p w14:paraId="7EB820D9">
      <w:pPr>
        <w:spacing w:before="240" w:after="120" w:line="360" w:lineRule="auto"/>
        <w:ind w:firstLine="0"/>
        <w:jc w:val="left"/>
      </w:pPr>
      <w:r>
        <w:rPr>
          <w:rFonts w:hint="eastAsia" w:ascii="黑体" w:hAnsi="黑体" w:eastAsia="黑体" w:cs="黑体"/>
          <w:b/>
          <w:bCs/>
          <w:sz w:val="32"/>
          <w:szCs w:val="32"/>
          <w:lang w:val="en-US" w:eastAsia="zh-CN"/>
        </w:rPr>
        <w:t>八</w:t>
      </w:r>
      <w:r>
        <w:rPr>
          <w:rFonts w:ascii="黑体" w:hAnsi="黑体" w:eastAsia="黑体" w:cs="黑体"/>
          <w:b/>
          <w:bCs/>
          <w:sz w:val="32"/>
          <w:szCs w:val="32"/>
        </w:rPr>
        <w:t>、培养过程及时间安排</w:t>
      </w:r>
    </w:p>
    <w:p w14:paraId="492F3362">
      <w:pPr>
        <w:spacing w:before="0" w:after="60" w:line="360" w:lineRule="auto"/>
        <w:ind w:firstLine="480"/>
        <w:jc w:val="both"/>
      </w:pPr>
      <w:r>
        <w:rPr>
          <w:rFonts w:ascii="宋体" w:hAnsi="宋体" w:eastAsia="宋体" w:cs="宋体"/>
          <w:b w:val="0"/>
          <w:bCs w:val="0"/>
          <w:sz w:val="24"/>
          <w:szCs w:val="24"/>
        </w:rPr>
        <w:t>（以表格形式列出各学期培养内容安排。）</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40"/>
        <w:gridCol w:w="1994"/>
        <w:gridCol w:w="6326"/>
      </w:tblGrid>
      <w:tr w14:paraId="689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04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14:paraId="1FFB3741">
            <w:pPr>
              <w:jc w:val="center"/>
            </w:pPr>
            <w:r>
              <w:rPr>
                <w:rFonts w:ascii="黑体" w:hAnsi="黑体" w:eastAsia="黑体" w:cs="黑体"/>
                <w:b/>
                <w:bCs/>
                <w:sz w:val="20"/>
                <w:szCs w:val="20"/>
              </w:rPr>
              <w:t>序号</w:t>
            </w:r>
          </w:p>
        </w:tc>
        <w:tc>
          <w:tcPr>
            <w:tcW w:w="1994"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14:paraId="62558DF3">
            <w:pPr>
              <w:jc w:val="center"/>
            </w:pPr>
            <w:r>
              <w:rPr>
                <w:rFonts w:ascii="黑体" w:hAnsi="黑体" w:eastAsia="黑体" w:cs="黑体"/>
                <w:b/>
                <w:bCs/>
                <w:sz w:val="20"/>
                <w:szCs w:val="20"/>
              </w:rPr>
              <w:t>时间</w:t>
            </w:r>
          </w:p>
        </w:tc>
        <w:tc>
          <w:tcPr>
            <w:tcW w:w="6326"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14:paraId="14C2F70F">
            <w:pPr>
              <w:jc w:val="center"/>
            </w:pPr>
            <w:r>
              <w:rPr>
                <w:rFonts w:ascii="黑体" w:hAnsi="黑体" w:eastAsia="黑体" w:cs="黑体"/>
                <w:b/>
                <w:bCs/>
                <w:sz w:val="20"/>
                <w:szCs w:val="20"/>
              </w:rPr>
              <w:t>培养内容</w:t>
            </w:r>
          </w:p>
        </w:tc>
      </w:tr>
      <w:tr w14:paraId="4F9E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25E8500C">
            <w:pPr>
              <w:jc w:val="center"/>
            </w:pPr>
            <w:r>
              <w:rPr>
                <w:rFonts w:ascii="宋体" w:hAnsi="宋体" w:eastAsia="宋体" w:cs="宋体"/>
                <w:sz w:val="20"/>
                <w:szCs w:val="20"/>
              </w:rPr>
              <w:t>1</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15590B93">
            <w:pPr>
              <w:jc w:val="left"/>
            </w:pPr>
            <w:r>
              <w:rPr>
                <w:rFonts w:ascii="宋体" w:hAnsi="宋体" w:eastAsia="宋体" w:cs="宋体"/>
                <w:sz w:val="20"/>
                <w:szCs w:val="20"/>
              </w:rPr>
              <w:t>第一学期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55C85B1">
            <w:pPr>
              <w:jc w:val="left"/>
              <w:rPr>
                <w:rFonts w:hint="default" w:eastAsia="宋体"/>
                <w:lang w:val="en-US" w:eastAsia="zh-CN"/>
              </w:rPr>
            </w:pPr>
            <w:r>
              <w:rPr>
                <w:rFonts w:hint="eastAsia" w:cs="宋体"/>
                <w:sz w:val="20"/>
                <w:szCs w:val="20"/>
                <w:lang w:val="en-US" w:eastAsia="zh-CN"/>
              </w:rPr>
              <w:t>示例：</w:t>
            </w:r>
            <w:r>
              <w:rPr>
                <w:rFonts w:ascii="宋体" w:hAnsi="宋体" w:eastAsia="宋体" w:cs="宋体"/>
                <w:sz w:val="20"/>
                <w:szCs w:val="20"/>
              </w:rPr>
              <w:t>制定培养计划、选课、入学教育与课程学习</w:t>
            </w:r>
            <w:r>
              <w:rPr>
                <w:rFonts w:hint="eastAsia" w:cs="宋体"/>
                <w:sz w:val="20"/>
                <w:szCs w:val="20"/>
                <w:lang w:eastAsia="zh-CN"/>
              </w:rPr>
              <w:t>、</w:t>
            </w:r>
            <w:r>
              <w:rPr>
                <w:rFonts w:hint="eastAsia" w:cs="宋体"/>
                <w:sz w:val="20"/>
                <w:szCs w:val="20"/>
                <w:lang w:val="en-US" w:eastAsia="zh-CN"/>
              </w:rPr>
              <w:t>专业实践</w:t>
            </w:r>
          </w:p>
        </w:tc>
      </w:tr>
      <w:tr w14:paraId="24F7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37CB80B2">
            <w:pPr>
              <w:jc w:val="center"/>
              <w:rPr>
                <w:rFonts w:hint="eastAsia" w:eastAsia="宋体"/>
                <w:lang w:eastAsia="zh-CN"/>
              </w:rPr>
            </w:pPr>
            <w:r>
              <w:rPr>
                <w:rFonts w:hint="eastAsia" w:cs="宋体"/>
                <w:sz w:val="20"/>
                <w:szCs w:val="20"/>
                <w:lang w:val="en-US" w:eastAsia="zh-CN"/>
              </w:rPr>
              <w:t>2</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E157DEF">
            <w:pPr>
              <w:jc w:val="left"/>
            </w:pPr>
            <w:r>
              <w:rPr>
                <w:rFonts w:ascii="宋体" w:hAnsi="宋体" w:eastAsia="宋体" w:cs="宋体"/>
                <w:sz w:val="20"/>
                <w:szCs w:val="20"/>
              </w:rPr>
              <w:t>第二学期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40B36E55">
            <w:pPr>
              <w:jc w:val="left"/>
              <w:rPr>
                <w:rFonts w:hint="default" w:eastAsia="宋体"/>
                <w:lang w:val="en-US" w:eastAsia="zh-CN"/>
              </w:rPr>
            </w:pPr>
            <w:r>
              <w:rPr>
                <w:rFonts w:hint="eastAsia" w:cs="宋体"/>
                <w:sz w:val="20"/>
                <w:szCs w:val="20"/>
                <w:lang w:val="en-US" w:eastAsia="zh-CN"/>
              </w:rPr>
              <w:t>示例：行业学习与交流，开题</w:t>
            </w:r>
          </w:p>
        </w:tc>
      </w:tr>
      <w:tr w14:paraId="40B9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41EBAB1C">
            <w:pPr>
              <w:jc w:val="center"/>
              <w:rPr>
                <w:rFonts w:hint="eastAsia" w:eastAsia="宋体"/>
                <w:lang w:eastAsia="zh-CN"/>
              </w:rPr>
            </w:pPr>
            <w:r>
              <w:rPr>
                <w:rFonts w:hint="eastAsia" w:cs="宋体"/>
                <w:sz w:val="20"/>
                <w:szCs w:val="20"/>
                <w:lang w:val="en-US" w:eastAsia="zh-CN"/>
              </w:rPr>
              <w:t>3</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9786CE7">
            <w:pPr>
              <w:jc w:val="left"/>
            </w:pPr>
            <w:r>
              <w:rPr>
                <w:rFonts w:ascii="宋体" w:hAnsi="宋体" w:eastAsia="宋体" w:cs="宋体"/>
                <w:sz w:val="20"/>
                <w:szCs w:val="20"/>
              </w:rPr>
              <w:t>第三学期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47FBABCD">
            <w:pPr>
              <w:jc w:val="left"/>
              <w:rPr>
                <w:rFonts w:hint="default" w:cs="宋体"/>
                <w:sz w:val="20"/>
                <w:szCs w:val="20"/>
                <w:lang w:val="en-US" w:eastAsia="zh-CN"/>
              </w:rPr>
            </w:pPr>
            <w:r>
              <w:rPr>
                <w:rFonts w:hint="eastAsia" w:cs="宋体"/>
                <w:sz w:val="20"/>
                <w:szCs w:val="20"/>
                <w:lang w:val="en-US" w:eastAsia="zh-CN"/>
              </w:rPr>
              <w:t>示例：课题研究、专业实践</w:t>
            </w:r>
          </w:p>
        </w:tc>
      </w:tr>
      <w:tr w14:paraId="5E11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911894D">
            <w:pPr>
              <w:jc w:val="center"/>
              <w:rPr>
                <w:rFonts w:hint="eastAsia" w:eastAsia="宋体"/>
                <w:lang w:eastAsia="zh-CN"/>
              </w:rPr>
            </w:pPr>
            <w:r>
              <w:rPr>
                <w:rFonts w:hint="eastAsia" w:cs="宋体"/>
                <w:sz w:val="20"/>
                <w:szCs w:val="20"/>
                <w:lang w:val="en-US" w:eastAsia="zh-CN"/>
              </w:rPr>
              <w:t>4</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13A6658A">
            <w:pPr>
              <w:jc w:val="left"/>
            </w:pPr>
            <w:r>
              <w:rPr>
                <w:rFonts w:ascii="宋体" w:hAnsi="宋体" w:eastAsia="宋体" w:cs="宋体"/>
                <w:sz w:val="20"/>
                <w:szCs w:val="20"/>
              </w:rPr>
              <w:t>第四学期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3FC432B5">
            <w:pPr>
              <w:jc w:val="left"/>
              <w:rPr>
                <w:rFonts w:hint="eastAsia" w:cs="宋体"/>
                <w:sz w:val="20"/>
                <w:szCs w:val="20"/>
                <w:lang w:val="en-US" w:eastAsia="zh-CN"/>
              </w:rPr>
            </w:pPr>
            <w:r>
              <w:rPr>
                <w:rFonts w:hint="eastAsia" w:cs="宋体"/>
                <w:sz w:val="20"/>
                <w:szCs w:val="20"/>
                <w:lang w:val="en-US" w:eastAsia="zh-CN"/>
              </w:rPr>
              <w:t>示例：课题研究、专业实践</w:t>
            </w:r>
          </w:p>
        </w:tc>
      </w:tr>
      <w:tr w14:paraId="1395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13A15428">
            <w:pPr>
              <w:jc w:val="center"/>
              <w:rPr>
                <w:rFonts w:hint="eastAsia" w:eastAsia="宋体"/>
                <w:lang w:eastAsia="zh-CN"/>
              </w:rPr>
            </w:pPr>
            <w:r>
              <w:rPr>
                <w:rFonts w:hint="eastAsia" w:cs="宋体"/>
                <w:sz w:val="20"/>
                <w:szCs w:val="20"/>
                <w:lang w:val="en-US" w:eastAsia="zh-CN"/>
              </w:rPr>
              <w:t>5</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4BDC9CE6">
            <w:pPr>
              <w:jc w:val="left"/>
            </w:pPr>
            <w:r>
              <w:rPr>
                <w:rFonts w:ascii="宋体" w:hAnsi="宋体" w:eastAsia="宋体" w:cs="宋体"/>
                <w:sz w:val="20"/>
                <w:szCs w:val="20"/>
              </w:rPr>
              <w:t>第五学期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1F39CEB4">
            <w:pPr>
              <w:jc w:val="left"/>
              <w:rPr>
                <w:rFonts w:hint="eastAsia" w:cs="宋体"/>
                <w:sz w:val="20"/>
                <w:szCs w:val="20"/>
                <w:lang w:val="en-US" w:eastAsia="zh-CN"/>
              </w:rPr>
            </w:pPr>
            <w:r>
              <w:rPr>
                <w:rFonts w:hint="eastAsia" w:cs="宋体"/>
                <w:sz w:val="20"/>
                <w:szCs w:val="20"/>
                <w:lang w:val="en-US" w:eastAsia="zh-CN"/>
              </w:rPr>
              <w:t>示例：</w:t>
            </w:r>
            <w:bookmarkStart w:id="0" w:name="_GoBack"/>
            <w:bookmarkEnd w:id="0"/>
            <w:r>
              <w:rPr>
                <w:rFonts w:hint="eastAsia" w:cs="宋体"/>
                <w:sz w:val="20"/>
                <w:szCs w:val="20"/>
                <w:lang w:val="en-US" w:eastAsia="zh-CN"/>
              </w:rPr>
              <w:t>学位论文与实践成果撰写、同行评价与鉴定</w:t>
            </w:r>
          </w:p>
        </w:tc>
      </w:tr>
      <w:tr w14:paraId="0915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2A2C423D">
            <w:pPr>
              <w:jc w:val="center"/>
              <w:rPr>
                <w:rFonts w:hint="eastAsia" w:eastAsia="宋体"/>
                <w:lang w:eastAsia="zh-CN"/>
              </w:rPr>
            </w:pPr>
            <w:r>
              <w:rPr>
                <w:rFonts w:hint="eastAsia" w:cs="宋体"/>
                <w:sz w:val="20"/>
                <w:szCs w:val="20"/>
                <w:lang w:val="en-US" w:eastAsia="zh-CN"/>
              </w:rPr>
              <w:t>6</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7DAB6433">
            <w:pPr>
              <w:jc w:val="left"/>
            </w:pPr>
            <w:r>
              <w:rPr>
                <w:rFonts w:ascii="宋体" w:hAnsi="宋体" w:eastAsia="宋体" w:cs="宋体"/>
                <w:sz w:val="20"/>
                <w:szCs w:val="20"/>
              </w:rPr>
              <w:t>第六学期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782F5169">
            <w:pPr>
              <w:jc w:val="left"/>
              <w:rPr>
                <w:rFonts w:hint="eastAsia" w:cs="宋体"/>
                <w:sz w:val="20"/>
                <w:szCs w:val="20"/>
                <w:lang w:val="en-US" w:eastAsia="zh-CN"/>
              </w:rPr>
            </w:pPr>
            <w:r>
              <w:rPr>
                <w:rFonts w:hint="eastAsia" w:cs="宋体"/>
                <w:sz w:val="20"/>
                <w:szCs w:val="20"/>
                <w:lang w:val="en-US" w:eastAsia="zh-CN"/>
              </w:rPr>
              <w:t>示例：学位论文（实践成果）答辩、毕业与学位申请</w:t>
            </w:r>
          </w:p>
        </w:tc>
      </w:tr>
      <w:tr w14:paraId="26F9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3BEF63C3">
            <w:pPr>
              <w:jc w:val="center"/>
            </w:pPr>
            <w:r>
              <w:rPr>
                <w:rFonts w:ascii="宋体" w:hAnsi="宋体" w:eastAsia="宋体" w:cs="宋体"/>
                <w:sz w:val="20"/>
                <w:szCs w:val="20"/>
              </w:rPr>
              <w:t>……</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6623C12">
            <w:pPr>
              <w:jc w:val="left"/>
            </w:pPr>
            <w:r>
              <w:rPr>
                <w:rFonts w:ascii="宋体" w:hAnsi="宋体" w:eastAsia="宋体" w:cs="宋体"/>
                <w:sz w:val="20"/>
                <w:szCs w:val="20"/>
              </w:rPr>
              <w:t>……</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79FFC3F3">
            <w:pPr>
              <w:jc w:val="left"/>
            </w:pPr>
            <w:r>
              <w:rPr>
                <w:rFonts w:ascii="宋体" w:hAnsi="宋体" w:eastAsia="宋体" w:cs="宋体"/>
                <w:sz w:val="20"/>
                <w:szCs w:val="20"/>
              </w:rPr>
              <w:t>……</w:t>
            </w:r>
          </w:p>
        </w:tc>
      </w:tr>
    </w:tbl>
    <w:p w14:paraId="202C608F">
      <w:pPr>
        <w:spacing w:before="40" w:after="60" w:line="320" w:lineRule="auto"/>
        <w:ind w:left="0" w:leftChars="0" w:firstLine="0" w:firstLineChars="0"/>
        <w:jc w:val="both"/>
        <w:rPr>
          <w:rFonts w:hint="default" w:ascii="仿宋" w:hAnsi="仿宋" w:eastAsia="仿宋" w:cs="仿宋"/>
          <w:color w:val="404040"/>
          <w:sz w:val="21"/>
          <w:szCs w:val="21"/>
          <w:lang w:val="en-US" w:eastAsia="zh-CN"/>
        </w:rPr>
      </w:pPr>
      <w:r>
        <w:rPr>
          <w:rFonts w:ascii="黑体" w:hAnsi="黑体" w:eastAsia="黑体" w:cs="黑体"/>
          <w:b/>
          <w:bCs/>
          <w:color w:val="7030A0"/>
          <w:sz w:val="21"/>
          <w:szCs w:val="21"/>
        </w:rPr>
        <w:t>【填写说明】</w:t>
      </w:r>
      <w:r>
        <w:rPr>
          <w:rFonts w:ascii="仿宋" w:hAnsi="仿宋" w:eastAsia="仿宋" w:cs="仿宋"/>
          <w:color w:val="404040"/>
          <w:sz w:val="21"/>
          <w:szCs w:val="21"/>
        </w:rPr>
        <w:t>各</w:t>
      </w:r>
      <w:r>
        <w:rPr>
          <w:rFonts w:hint="eastAsia" w:ascii="仿宋" w:hAnsi="仿宋" w:eastAsia="仿宋" w:cs="仿宋"/>
          <w:color w:val="404040"/>
          <w:sz w:val="21"/>
          <w:szCs w:val="21"/>
          <w:lang w:val="en-US" w:eastAsia="zh-CN"/>
        </w:rPr>
        <w:t>专业</w:t>
      </w:r>
      <w:r>
        <w:rPr>
          <w:rFonts w:ascii="仿宋" w:hAnsi="仿宋" w:eastAsia="仿宋" w:cs="仿宋"/>
          <w:color w:val="404040"/>
          <w:sz w:val="21"/>
          <w:szCs w:val="21"/>
        </w:rPr>
        <w:t>可根据实际调整时间安排，但应确保各培养环节的先后顺序合理，且符合学校相关文件规定的节点要求。</w:t>
      </w:r>
      <w:r>
        <w:rPr>
          <w:rFonts w:hint="eastAsia" w:ascii="仿宋" w:hAnsi="仿宋" w:eastAsia="仿宋" w:cs="仿宋"/>
          <w:color w:val="404040"/>
          <w:sz w:val="21"/>
          <w:szCs w:val="21"/>
          <w:lang w:val="en-US" w:eastAsia="zh-CN"/>
        </w:rPr>
        <w:t xml:space="preserve">               </w:t>
      </w:r>
    </w:p>
    <w:p w14:paraId="26DCDE3E">
      <w:pPr>
        <w:spacing w:before="0" w:after="60" w:line="360" w:lineRule="auto"/>
        <w:ind w:firstLine="0"/>
        <w:jc w:val="both"/>
      </w:pPr>
      <w:r>
        <w:rPr>
          <w:rFonts w:ascii="宋体" w:hAnsi="宋体" w:eastAsia="宋体" w:cs="宋体"/>
          <w:b w:val="0"/>
          <w:bCs w:val="0"/>
          <w:sz w:val="24"/>
          <w:szCs w:val="24"/>
        </w:rPr>
        <w:t>备注：培养过程中若有文件制度更新，则依据最新文件要求执行。</w:t>
      </w:r>
    </w:p>
    <w:p w14:paraId="4AC72849">
      <w:pPr>
        <w:spacing w:before="0" w:after="0"/>
      </w:pPr>
    </w:p>
    <w:p w14:paraId="2A9FEFF4">
      <w:pPr>
        <w:spacing w:before="0" w:after="60" w:line="360" w:lineRule="auto"/>
        <w:ind w:firstLine="0"/>
        <w:jc w:val="center"/>
      </w:pPr>
      <w:r>
        <w:rPr>
          <w:rFonts w:hint="eastAsia" w:cs="宋体"/>
          <w:b w:val="0"/>
          <w:bCs w:val="0"/>
          <w:sz w:val="24"/>
          <w:szCs w:val="24"/>
          <w:lang w:val="en-US" w:eastAsia="zh-CN"/>
        </w:rPr>
        <w:t xml:space="preserve">                                              </w:t>
      </w:r>
      <w:r>
        <w:rPr>
          <w:rFonts w:ascii="宋体" w:hAnsi="宋体" w:eastAsia="宋体" w:cs="宋体"/>
          <w:b w:val="0"/>
          <w:bCs w:val="0"/>
          <w:sz w:val="24"/>
          <w:szCs w:val="24"/>
        </w:rPr>
        <w:t>执笔人：</w:t>
      </w:r>
    </w:p>
    <w:p w14:paraId="5B5A8B3A">
      <w:pPr>
        <w:spacing w:before="0" w:after="60" w:line="360" w:lineRule="auto"/>
        <w:ind w:firstLine="0"/>
        <w:jc w:val="right"/>
      </w:pPr>
      <w:r>
        <w:rPr>
          <w:rFonts w:ascii="宋体" w:hAnsi="宋体" w:eastAsia="宋体" w:cs="宋体"/>
          <w:b w:val="0"/>
          <w:bCs w:val="0"/>
          <w:sz w:val="24"/>
          <w:szCs w:val="24"/>
        </w:rPr>
        <w:t xml:space="preserve">     制（修）</w:t>
      </w:r>
      <w:r>
        <w:rPr>
          <w:rFonts w:hint="eastAsia" w:cs="宋体"/>
          <w:b w:val="0"/>
          <w:bCs w:val="0"/>
          <w:sz w:val="24"/>
          <w:szCs w:val="24"/>
          <w:lang w:val="en-US" w:eastAsia="zh-CN"/>
        </w:rPr>
        <w:t>定</w:t>
      </w:r>
      <w:r>
        <w:rPr>
          <w:rFonts w:ascii="宋体" w:hAnsi="宋体" w:eastAsia="宋体" w:cs="宋体"/>
          <w:b w:val="0"/>
          <w:bCs w:val="0"/>
          <w:sz w:val="24"/>
          <w:szCs w:val="24"/>
        </w:rPr>
        <w:t>日期：</w:t>
      </w:r>
    </w:p>
    <w:p w14:paraId="1FA59160">
      <w:pPr>
        <w:spacing w:before="0" w:after="60" w:line="360" w:lineRule="auto"/>
        <w:ind w:firstLine="0"/>
        <w:jc w:val="right"/>
      </w:pPr>
    </w:p>
    <w:p w14:paraId="304913FB">
      <w:pPr>
        <w:ind w:left="0" w:leftChars="0" w:firstLine="0" w:firstLineChars="0"/>
        <w:jc w:val="center"/>
        <w:rPr>
          <w:rFonts w:ascii="黑体" w:hAnsi="黑体" w:eastAsia="黑体" w:cs="黑体"/>
          <w:b/>
          <w:bCs/>
          <w:sz w:val="32"/>
          <w:szCs w:val="32"/>
        </w:rPr>
      </w:pPr>
      <w:r>
        <w:br w:type="page"/>
      </w:r>
      <w:r>
        <w:rPr>
          <w:rFonts w:ascii="黑体" w:hAnsi="黑体" w:eastAsia="黑体" w:cs="黑体"/>
          <w:b/>
          <w:bCs/>
          <w:sz w:val="32"/>
          <w:szCs w:val="32"/>
        </w:rPr>
        <w:t>***专业</w:t>
      </w:r>
      <w:r>
        <w:rPr>
          <w:rFonts w:hint="eastAsia" w:ascii="黑体" w:hAnsi="黑体" w:eastAsia="黑体" w:cs="黑体"/>
          <w:b/>
          <w:bCs/>
          <w:sz w:val="32"/>
          <w:szCs w:val="32"/>
          <w:lang w:val="en-US" w:eastAsia="zh-CN"/>
        </w:rPr>
        <w:t>领域（方向）</w:t>
      </w:r>
      <w:r>
        <w:rPr>
          <w:rFonts w:ascii="黑体" w:hAnsi="黑体" w:eastAsia="黑体" w:cs="黑体"/>
          <w:b/>
          <w:bCs/>
          <w:sz w:val="32"/>
          <w:szCs w:val="32"/>
        </w:rPr>
        <w:t>培养方案</w:t>
      </w:r>
    </w:p>
    <w:p w14:paraId="46FC017C">
      <w:pPr>
        <w:spacing w:before="0" w:after="120" w:line="360" w:lineRule="auto"/>
        <w:jc w:val="center"/>
        <w:rPr>
          <w:rFonts w:ascii="宋体" w:hAnsi="宋体" w:eastAsia="宋体" w:cs="宋体"/>
          <w:b w:val="0"/>
          <w:bCs w:val="0"/>
          <w:sz w:val="24"/>
          <w:szCs w:val="24"/>
        </w:rPr>
      </w:pPr>
      <w:r>
        <w:rPr>
          <w:rFonts w:ascii="宋体" w:hAnsi="宋体" w:eastAsia="宋体" w:cs="宋体"/>
          <w:b w:val="0"/>
          <w:bCs w:val="0"/>
          <w:sz w:val="24"/>
          <w:szCs w:val="24"/>
        </w:rPr>
        <w:t>（</w:t>
      </w:r>
      <w:r>
        <w:rPr>
          <w:rFonts w:hint="eastAsia" w:cs="宋体"/>
          <w:b w:val="0"/>
          <w:bCs w:val="0"/>
          <w:sz w:val="24"/>
          <w:szCs w:val="24"/>
          <w:lang w:val="en-US" w:eastAsia="zh-CN"/>
        </w:rPr>
        <w:t>二级专业领域</w:t>
      </w:r>
      <w:r>
        <w:rPr>
          <w:rFonts w:ascii="宋体" w:hAnsi="宋体" w:eastAsia="宋体" w:cs="宋体"/>
          <w:b w:val="0"/>
          <w:bCs w:val="0"/>
          <w:sz w:val="24"/>
          <w:szCs w:val="24"/>
        </w:rPr>
        <w:t>名称   代码   ）</w:t>
      </w:r>
    </w:p>
    <w:p w14:paraId="210EDBF1">
      <w:pPr>
        <w:spacing w:before="0" w:after="60" w:line="360" w:lineRule="auto"/>
        <w:ind w:firstLine="480"/>
        <w:jc w:val="both"/>
        <w:rPr>
          <w:rFonts w:ascii="宋体" w:hAnsi="宋体" w:eastAsia="宋体" w:cs="宋体"/>
          <w:b w:val="0"/>
          <w:bCs w:val="0"/>
          <w:sz w:val="24"/>
          <w:szCs w:val="24"/>
        </w:rPr>
      </w:pPr>
    </w:p>
    <w:p w14:paraId="34A61253">
      <w:pPr>
        <w:spacing w:before="0" w:after="60" w:line="360" w:lineRule="auto"/>
        <w:ind w:firstLine="480"/>
        <w:jc w:val="both"/>
      </w:pPr>
      <w:r>
        <w:rPr>
          <w:rFonts w:ascii="宋体" w:hAnsi="宋体" w:eastAsia="宋体" w:cs="宋体"/>
          <w:b w:val="0"/>
          <w:bCs w:val="0"/>
          <w:sz w:val="24"/>
          <w:szCs w:val="24"/>
        </w:rPr>
        <w:t>在专业类别基础上提出对于本专业</w:t>
      </w:r>
      <w:r>
        <w:rPr>
          <w:rFonts w:hint="eastAsia" w:cs="宋体"/>
          <w:b w:val="0"/>
          <w:bCs w:val="0"/>
          <w:sz w:val="24"/>
          <w:szCs w:val="24"/>
          <w:lang w:val="en-US" w:eastAsia="zh-CN"/>
        </w:rPr>
        <w:t>二级领域（</w:t>
      </w:r>
      <w:r>
        <w:rPr>
          <w:rFonts w:ascii="宋体" w:hAnsi="宋体" w:eastAsia="宋体" w:cs="宋体"/>
          <w:b w:val="0"/>
          <w:bCs w:val="0"/>
          <w:sz w:val="24"/>
          <w:szCs w:val="24"/>
        </w:rPr>
        <w:t>方向</w:t>
      </w:r>
      <w:r>
        <w:rPr>
          <w:rFonts w:hint="eastAsia" w:cs="宋体"/>
          <w:b w:val="0"/>
          <w:bCs w:val="0"/>
          <w:sz w:val="24"/>
          <w:szCs w:val="24"/>
          <w:lang w:eastAsia="zh-CN"/>
        </w:rPr>
        <w:t>）</w:t>
      </w:r>
      <w:r>
        <w:rPr>
          <w:rFonts w:ascii="宋体" w:hAnsi="宋体" w:eastAsia="宋体" w:cs="宋体"/>
          <w:b w:val="0"/>
          <w:bCs w:val="0"/>
          <w:sz w:val="24"/>
          <w:szCs w:val="24"/>
        </w:rPr>
        <w:t>的</w:t>
      </w:r>
      <w:r>
        <w:rPr>
          <w:rFonts w:hint="eastAsia" w:cs="宋体"/>
          <w:b w:val="0"/>
          <w:bCs w:val="0"/>
          <w:sz w:val="24"/>
          <w:szCs w:val="24"/>
          <w:lang w:val="en-US" w:eastAsia="zh-CN"/>
        </w:rPr>
        <w:t>补充</w:t>
      </w:r>
      <w:r>
        <w:rPr>
          <w:rFonts w:ascii="宋体" w:hAnsi="宋体" w:eastAsia="宋体" w:cs="宋体"/>
          <w:b w:val="0"/>
          <w:bCs w:val="0"/>
          <w:sz w:val="24"/>
          <w:szCs w:val="24"/>
        </w:rPr>
        <w:t>要求，</w:t>
      </w:r>
      <w:r>
        <w:rPr>
          <w:rFonts w:hint="eastAsia" w:cs="宋体"/>
          <w:b w:val="0"/>
          <w:bCs w:val="0"/>
          <w:sz w:val="24"/>
          <w:szCs w:val="24"/>
          <w:lang w:val="en-US" w:eastAsia="zh-CN"/>
        </w:rPr>
        <w:t>可</w:t>
      </w:r>
      <w:r>
        <w:rPr>
          <w:rFonts w:ascii="宋体" w:hAnsi="宋体" w:eastAsia="宋体" w:cs="宋体"/>
          <w:b w:val="0"/>
          <w:bCs w:val="0"/>
          <w:sz w:val="24"/>
          <w:szCs w:val="24"/>
        </w:rPr>
        <w:t>结合专业类别</w:t>
      </w:r>
      <w:r>
        <w:rPr>
          <w:rFonts w:hint="eastAsia" w:cs="宋体"/>
          <w:b w:val="0"/>
          <w:bCs w:val="0"/>
          <w:sz w:val="24"/>
          <w:szCs w:val="24"/>
          <w:lang w:eastAsia="zh-CN"/>
        </w:rPr>
        <w:t>（</w:t>
      </w:r>
      <w:r>
        <w:rPr>
          <w:rFonts w:hint="eastAsia" w:cs="宋体"/>
          <w:b w:val="0"/>
          <w:bCs w:val="0"/>
          <w:sz w:val="24"/>
          <w:szCs w:val="24"/>
          <w:lang w:val="en-US" w:eastAsia="zh-CN"/>
        </w:rPr>
        <w:t>一级方案</w:t>
      </w:r>
      <w:r>
        <w:rPr>
          <w:rFonts w:hint="eastAsia" w:cs="宋体"/>
          <w:b w:val="0"/>
          <w:bCs w:val="0"/>
          <w:sz w:val="24"/>
          <w:szCs w:val="24"/>
          <w:lang w:eastAsia="zh-CN"/>
        </w:rPr>
        <w:t>）</w:t>
      </w:r>
      <w:r>
        <w:rPr>
          <w:rFonts w:ascii="宋体" w:hAnsi="宋体" w:eastAsia="宋体" w:cs="宋体"/>
          <w:b w:val="0"/>
          <w:bCs w:val="0"/>
          <w:sz w:val="24"/>
          <w:szCs w:val="24"/>
        </w:rPr>
        <w:t>各条目与</w:t>
      </w:r>
      <w:r>
        <w:rPr>
          <w:rFonts w:hint="eastAsia" w:cs="宋体"/>
          <w:b w:val="0"/>
          <w:bCs w:val="0"/>
          <w:sz w:val="24"/>
          <w:szCs w:val="24"/>
          <w:lang w:val="en-US" w:eastAsia="zh-CN"/>
        </w:rPr>
        <w:t>体例</w:t>
      </w:r>
      <w:r>
        <w:rPr>
          <w:rFonts w:ascii="宋体" w:hAnsi="宋体" w:eastAsia="宋体" w:cs="宋体"/>
          <w:b w:val="0"/>
          <w:bCs w:val="0"/>
          <w:sz w:val="24"/>
          <w:szCs w:val="24"/>
        </w:rPr>
        <w:t>进行撰写。</w:t>
      </w:r>
    </w:p>
    <w:p w14:paraId="0A01918E">
      <w:pPr>
        <w:spacing w:before="60" w:after="80" w:line="320" w:lineRule="auto"/>
        <w:ind w:firstLine="480"/>
        <w:jc w:val="both"/>
      </w:pPr>
      <w:r>
        <w:rPr>
          <w:rFonts w:ascii="黑体" w:hAnsi="黑体" w:eastAsia="黑体" w:cs="黑体"/>
          <w:b/>
          <w:bCs/>
          <w:color w:val="C00000"/>
          <w:sz w:val="21"/>
          <w:szCs w:val="21"/>
        </w:rPr>
        <w:t>【撰写要求】</w:t>
      </w:r>
      <w:r>
        <w:rPr>
          <w:rFonts w:ascii="仿宋" w:hAnsi="仿宋" w:eastAsia="仿宋" w:cs="仿宋"/>
          <w:color w:val="404040"/>
          <w:sz w:val="21"/>
          <w:szCs w:val="21"/>
        </w:rPr>
        <w:t>二级专业</w:t>
      </w:r>
      <w:r>
        <w:rPr>
          <w:rFonts w:hint="eastAsia" w:ascii="仿宋" w:hAnsi="仿宋" w:eastAsia="仿宋" w:cs="仿宋"/>
          <w:color w:val="404040"/>
          <w:sz w:val="21"/>
          <w:szCs w:val="21"/>
          <w:lang w:val="en-US" w:eastAsia="zh-CN"/>
        </w:rPr>
        <w:t>领域</w:t>
      </w:r>
      <w:r>
        <w:rPr>
          <w:rFonts w:ascii="仿宋" w:hAnsi="仿宋" w:eastAsia="仿宋" w:cs="仿宋"/>
          <w:color w:val="404040"/>
          <w:sz w:val="21"/>
          <w:szCs w:val="21"/>
        </w:rPr>
        <w:t>（方向）培养方案应在专业类别培养方案框架下制定，重点体现方向特色和差异化培养定位。</w:t>
      </w:r>
      <w:r>
        <w:rPr>
          <w:rFonts w:hint="eastAsia" w:ascii="仿宋" w:hAnsi="仿宋" w:eastAsia="仿宋" w:cs="仿宋"/>
          <w:color w:val="404040"/>
          <w:sz w:val="21"/>
          <w:szCs w:val="21"/>
          <w:lang w:val="en-US" w:eastAsia="zh-CN"/>
        </w:rPr>
        <w:t>可</w:t>
      </w:r>
      <w:r>
        <w:rPr>
          <w:rFonts w:ascii="仿宋" w:hAnsi="仿宋" w:eastAsia="仿宋" w:cs="仿宋"/>
          <w:color w:val="404040"/>
          <w:sz w:val="21"/>
          <w:szCs w:val="21"/>
        </w:rPr>
        <w:t>对照专业类别培养方案的各条目撰写本方向的具体要求，包括：①学科简介中本方向的特色描述；②培养目标中本方向的职业定位；③研究方向的细化；④课程设置中本方向特色课程；⑤行业技能训练、行业实践的具体内容与基地；⑥学位论文（实践成果）的选题导向与形式要求。内容应避免简单重复专业类别方案，着重体现方向特色。</w:t>
      </w:r>
    </w:p>
    <w:p w14:paraId="288A3854">
      <w:pPr>
        <w:spacing w:before="0" w:after="0"/>
      </w:pPr>
    </w:p>
    <w:p w14:paraId="6E11EABF">
      <w:pPr>
        <w:spacing w:before="0" w:after="0"/>
      </w:pPr>
    </w:p>
    <w:p w14:paraId="1F5AA75D">
      <w:pPr>
        <w:spacing w:before="0" w:after="60" w:line="360" w:lineRule="auto"/>
        <w:ind w:firstLine="0"/>
        <w:jc w:val="center"/>
      </w:pPr>
      <w:r>
        <w:rPr>
          <w:rFonts w:hint="eastAsia" w:cs="宋体"/>
          <w:b w:val="0"/>
          <w:bCs w:val="0"/>
          <w:sz w:val="24"/>
          <w:szCs w:val="24"/>
          <w:lang w:val="en-US" w:eastAsia="zh-CN"/>
        </w:rPr>
        <w:t xml:space="preserve">                                              </w:t>
      </w:r>
      <w:r>
        <w:rPr>
          <w:rFonts w:ascii="宋体" w:hAnsi="宋体" w:eastAsia="宋体" w:cs="宋体"/>
          <w:b w:val="0"/>
          <w:bCs w:val="0"/>
          <w:sz w:val="24"/>
          <w:szCs w:val="24"/>
        </w:rPr>
        <w:t>执笔人：</w:t>
      </w:r>
    </w:p>
    <w:p w14:paraId="2F855476">
      <w:pPr>
        <w:spacing w:before="0" w:after="60" w:line="360" w:lineRule="auto"/>
        <w:ind w:firstLine="0"/>
        <w:jc w:val="right"/>
      </w:pPr>
      <w:r>
        <w:rPr>
          <w:rFonts w:ascii="宋体" w:hAnsi="宋体" w:eastAsia="宋体" w:cs="宋体"/>
          <w:b w:val="0"/>
          <w:bCs w:val="0"/>
          <w:sz w:val="24"/>
          <w:szCs w:val="24"/>
        </w:rPr>
        <w:t xml:space="preserve">     制（修）</w:t>
      </w:r>
      <w:r>
        <w:rPr>
          <w:rFonts w:hint="eastAsia" w:cs="宋体"/>
          <w:b w:val="0"/>
          <w:bCs w:val="0"/>
          <w:sz w:val="24"/>
          <w:szCs w:val="24"/>
          <w:lang w:val="en-US" w:eastAsia="zh-CN"/>
        </w:rPr>
        <w:t>定</w:t>
      </w:r>
      <w:r>
        <w:rPr>
          <w:rFonts w:ascii="宋体" w:hAnsi="宋体" w:eastAsia="宋体" w:cs="宋体"/>
          <w:b w:val="0"/>
          <w:bCs w:val="0"/>
          <w:sz w:val="24"/>
          <w:szCs w:val="24"/>
        </w:rPr>
        <w:t>日期：</w:t>
      </w:r>
    </w:p>
    <w:p w14:paraId="6688E449">
      <w:pPr>
        <w:spacing w:before="0" w:after="0"/>
      </w:pPr>
    </w:p>
    <w:p w14:paraId="2CD4B90D">
      <w:r>
        <w:br w:type="page"/>
      </w:r>
    </w:p>
    <w:p w14:paraId="521BCC40">
      <w:pPr>
        <w:spacing w:before="240" w:after="120" w:line="360" w:lineRule="auto"/>
        <w:ind w:firstLine="0"/>
        <w:jc w:val="left"/>
        <w:rPr>
          <w:rFonts w:hint="eastAsia" w:eastAsia="黑体"/>
          <w:color w:val="FF0000"/>
          <w:lang w:eastAsia="zh-CN"/>
        </w:rPr>
      </w:pPr>
      <w:r>
        <w:rPr>
          <w:rFonts w:ascii="黑体" w:hAnsi="黑体" w:eastAsia="黑体" w:cs="黑体"/>
          <w:b/>
          <w:bCs/>
          <w:color w:val="FF0000"/>
          <w:sz w:val="32"/>
          <w:szCs w:val="32"/>
        </w:rPr>
        <w:t>附：相关政策与制度文件目录</w:t>
      </w:r>
    </w:p>
    <w:p w14:paraId="1A9399C0">
      <w:pPr>
        <w:spacing w:before="0" w:after="60" w:line="360" w:lineRule="auto"/>
        <w:ind w:firstLine="0"/>
        <w:jc w:val="both"/>
      </w:pPr>
      <w:r>
        <w:rPr>
          <w:rFonts w:ascii="宋体" w:hAnsi="宋体" w:eastAsia="宋体" w:cs="宋体"/>
          <w:b w:val="0"/>
          <w:bCs w:val="0"/>
          <w:sz w:val="24"/>
          <w:szCs w:val="24"/>
        </w:rPr>
        <w:t>以下文件作为本培养方案的制度依据，如文件更新则以最新版本为准：</w:t>
      </w:r>
    </w:p>
    <w:p w14:paraId="72D66744">
      <w:pPr>
        <w:spacing w:before="0" w:after="60" w:line="360" w:lineRule="auto"/>
        <w:ind w:firstLine="0"/>
        <w:jc w:val="both"/>
      </w:pPr>
      <w:r>
        <w:rPr>
          <w:rFonts w:ascii="宋体" w:hAnsi="宋体" w:eastAsia="宋体" w:cs="宋体"/>
          <w:b w:val="0"/>
          <w:bCs w:val="0"/>
          <w:sz w:val="24"/>
          <w:szCs w:val="24"/>
        </w:rPr>
        <w:t>1.《中华人民共和国学位法》（2025年1月1日起施行）</w:t>
      </w:r>
    </w:p>
    <w:p w14:paraId="64AB154C">
      <w:pPr>
        <w:spacing w:before="0" w:after="60" w:line="360" w:lineRule="auto"/>
        <w:ind w:firstLine="0"/>
        <w:jc w:val="both"/>
      </w:pPr>
      <w:r>
        <w:rPr>
          <w:rFonts w:ascii="宋体" w:hAnsi="宋体" w:eastAsia="宋体" w:cs="宋体"/>
          <w:b w:val="0"/>
          <w:bCs w:val="0"/>
          <w:sz w:val="24"/>
          <w:szCs w:val="24"/>
        </w:rPr>
        <w:t>2.教育部《关于深入推进学术学位与专业学位教育分类发展的意见》（教研〔2023〕2号）</w:t>
      </w:r>
    </w:p>
    <w:p w14:paraId="45A60FE6">
      <w:pPr>
        <w:spacing w:before="0" w:after="60" w:line="360" w:lineRule="auto"/>
        <w:ind w:firstLine="0"/>
        <w:jc w:val="both"/>
      </w:pPr>
      <w:r>
        <w:rPr>
          <w:rFonts w:ascii="宋体" w:hAnsi="宋体" w:eastAsia="宋体" w:cs="宋体"/>
          <w:b w:val="0"/>
          <w:bCs w:val="0"/>
          <w:sz w:val="24"/>
          <w:szCs w:val="24"/>
        </w:rPr>
        <w:t>3.教育部《研究生教育学科专业简介及其学位基本要求（试行版）》</w:t>
      </w:r>
    </w:p>
    <w:p w14:paraId="19CC4963">
      <w:pPr>
        <w:spacing w:before="0" w:after="60" w:line="360" w:lineRule="auto"/>
        <w:ind w:firstLine="0"/>
        <w:jc w:val="both"/>
      </w:pPr>
      <w:r>
        <w:rPr>
          <w:rFonts w:ascii="宋体" w:hAnsi="宋体" w:eastAsia="宋体" w:cs="宋体"/>
          <w:b w:val="0"/>
          <w:bCs w:val="0"/>
          <w:sz w:val="24"/>
          <w:szCs w:val="24"/>
        </w:rPr>
        <w:t>4.教育部《专业学位研究生核心课程指南（试行）》</w:t>
      </w:r>
    </w:p>
    <w:p w14:paraId="2917ED2D">
      <w:pPr>
        <w:spacing w:before="0" w:after="60" w:line="360" w:lineRule="auto"/>
        <w:ind w:firstLine="0"/>
        <w:jc w:val="both"/>
      </w:pPr>
      <w:r>
        <w:rPr>
          <w:rFonts w:ascii="宋体" w:hAnsi="宋体" w:eastAsia="宋体" w:cs="宋体"/>
          <w:b w:val="0"/>
          <w:bCs w:val="0"/>
          <w:sz w:val="24"/>
          <w:szCs w:val="24"/>
        </w:rPr>
        <w:t>5.教育部各专业学位研究生教育指导委员会关于申请学位实践成果基本要求</w:t>
      </w:r>
    </w:p>
    <w:p w14:paraId="70303F3C">
      <w:pPr>
        <w:spacing w:before="0" w:after="60" w:line="360" w:lineRule="auto"/>
        <w:ind w:firstLine="0"/>
        <w:jc w:val="both"/>
      </w:pPr>
      <w:r>
        <w:rPr>
          <w:rFonts w:ascii="宋体" w:hAnsi="宋体" w:eastAsia="宋体" w:cs="宋体"/>
          <w:b w:val="0"/>
          <w:bCs w:val="0"/>
          <w:sz w:val="24"/>
          <w:szCs w:val="24"/>
        </w:rPr>
        <w:t>6.《南京中医药大学研究生学位论文与申请学位实践成果开题管理办法》（南中医大研字〔2025〕25号）</w:t>
      </w:r>
    </w:p>
    <w:p w14:paraId="290CF088">
      <w:pPr>
        <w:spacing w:before="0" w:after="60" w:line="360" w:lineRule="auto"/>
        <w:ind w:firstLine="0"/>
        <w:jc w:val="both"/>
      </w:pPr>
      <w:r>
        <w:rPr>
          <w:rFonts w:ascii="宋体" w:hAnsi="宋体" w:eastAsia="宋体" w:cs="宋体"/>
          <w:b w:val="0"/>
          <w:bCs w:val="0"/>
          <w:sz w:val="24"/>
          <w:szCs w:val="24"/>
        </w:rPr>
        <w:t>7.《南京中医药大学研究生中期考核管理办法》（南中医大研字〔2025〕26号）</w:t>
      </w:r>
    </w:p>
    <w:p w14:paraId="3B7AD7EE">
      <w:pPr>
        <w:spacing w:before="0" w:after="60" w:line="360" w:lineRule="auto"/>
        <w:ind w:firstLine="0"/>
        <w:jc w:val="both"/>
        <w:rPr>
          <w:rFonts w:ascii="宋体" w:hAnsi="宋体" w:eastAsia="宋体" w:cs="宋体"/>
          <w:b w:val="0"/>
          <w:bCs w:val="0"/>
          <w:sz w:val="24"/>
          <w:szCs w:val="24"/>
        </w:rPr>
      </w:pPr>
      <w:r>
        <w:rPr>
          <w:rFonts w:ascii="宋体" w:hAnsi="宋体" w:eastAsia="宋体" w:cs="宋体"/>
          <w:b w:val="0"/>
          <w:bCs w:val="0"/>
          <w:sz w:val="24"/>
          <w:szCs w:val="24"/>
        </w:rPr>
        <w:t>8.《南京中医药大学研究生学位论文或申请学位实践成果评阅与质量管理办法》（南中医大研字〔2025〕24号）</w:t>
      </w:r>
    </w:p>
    <w:p w14:paraId="4EE52170">
      <w:pPr>
        <w:spacing w:before="0" w:after="60" w:line="360" w:lineRule="auto"/>
        <w:ind w:firstLine="0"/>
        <w:jc w:val="both"/>
        <w:rPr>
          <w:rFonts w:ascii="宋体" w:hAnsi="宋体" w:eastAsia="宋体" w:cs="宋体"/>
          <w:b w:val="0"/>
          <w:bCs w:val="0"/>
          <w:sz w:val="24"/>
          <w:szCs w:val="24"/>
        </w:rPr>
      </w:pPr>
      <w:r>
        <w:rPr>
          <w:rFonts w:hint="eastAsia" w:cs="宋体"/>
          <w:b w:val="0"/>
          <w:bCs w:val="0"/>
          <w:sz w:val="24"/>
          <w:szCs w:val="24"/>
          <w:lang w:val="en-US" w:eastAsia="zh-CN"/>
        </w:rPr>
        <w:t>9</w:t>
      </w:r>
      <w:r>
        <w:rPr>
          <w:rFonts w:ascii="宋体" w:hAnsi="宋体" w:eastAsia="宋体" w:cs="宋体"/>
          <w:b w:val="0"/>
          <w:bCs w:val="0"/>
          <w:sz w:val="24"/>
          <w:szCs w:val="24"/>
        </w:rPr>
        <w:t>.《南京中医药大学研究生培养方案修订工作规程》（南中医大</w:t>
      </w:r>
      <w:r>
        <w:rPr>
          <w:rFonts w:hint="eastAsia" w:cs="宋体"/>
          <w:b w:val="0"/>
          <w:bCs w:val="0"/>
          <w:sz w:val="24"/>
          <w:szCs w:val="24"/>
          <w:lang w:val="en-US" w:eastAsia="zh-CN"/>
        </w:rPr>
        <w:t>研究生院</w:t>
      </w:r>
      <w:r>
        <w:rPr>
          <w:rFonts w:ascii="宋体" w:hAnsi="宋体" w:eastAsia="宋体" w:cs="宋体"/>
          <w:b w:val="0"/>
          <w:bCs w:val="0"/>
          <w:sz w:val="24"/>
          <w:szCs w:val="24"/>
        </w:rPr>
        <w:t>〔202</w:t>
      </w:r>
      <w:r>
        <w:rPr>
          <w:rFonts w:hint="eastAsia" w:cs="宋体"/>
          <w:b w:val="0"/>
          <w:bCs w:val="0"/>
          <w:sz w:val="24"/>
          <w:szCs w:val="24"/>
          <w:lang w:val="en-US" w:eastAsia="zh-CN"/>
        </w:rPr>
        <w:t>6</w:t>
      </w:r>
      <w:r>
        <w:rPr>
          <w:rFonts w:ascii="宋体" w:hAnsi="宋体" w:eastAsia="宋体" w:cs="宋体"/>
          <w:b w:val="0"/>
          <w:bCs w:val="0"/>
          <w:sz w:val="24"/>
          <w:szCs w:val="24"/>
        </w:rPr>
        <w:t>〕2号）</w:t>
      </w:r>
    </w:p>
    <w:p w14:paraId="190F7483">
      <w:pPr>
        <w:spacing w:before="0" w:after="60" w:line="360" w:lineRule="auto"/>
        <w:ind w:firstLine="0"/>
        <w:jc w:val="both"/>
      </w:pPr>
      <w:r>
        <w:rPr>
          <w:rFonts w:hint="eastAsia" w:cs="宋体"/>
          <w:b w:val="0"/>
          <w:bCs w:val="0"/>
          <w:sz w:val="24"/>
          <w:szCs w:val="24"/>
          <w:lang w:val="en-US" w:eastAsia="zh-CN"/>
        </w:rPr>
        <w:t>10</w:t>
      </w:r>
      <w:r>
        <w:rPr>
          <w:rFonts w:ascii="宋体" w:hAnsi="宋体" w:eastAsia="宋体" w:cs="宋体"/>
          <w:b w:val="0"/>
          <w:bCs w:val="0"/>
          <w:sz w:val="24"/>
          <w:szCs w:val="24"/>
        </w:rPr>
        <w:t>.《南京中医药大学专业学位研究生培养方案</w:t>
      </w:r>
      <w:r>
        <w:rPr>
          <w:rFonts w:hint="eastAsia" w:cs="宋体"/>
          <w:b w:val="0"/>
          <w:bCs w:val="0"/>
          <w:sz w:val="24"/>
          <w:szCs w:val="24"/>
          <w:lang w:eastAsia="zh-CN"/>
        </w:rPr>
        <w:t>制（修）定指导意见》</w:t>
      </w:r>
      <w:r>
        <w:rPr>
          <w:rFonts w:ascii="宋体" w:hAnsi="宋体" w:eastAsia="宋体" w:cs="宋体"/>
          <w:b w:val="0"/>
          <w:bCs w:val="0"/>
          <w:sz w:val="24"/>
          <w:szCs w:val="24"/>
        </w:rPr>
        <w:t>（南中医大</w:t>
      </w:r>
      <w:r>
        <w:rPr>
          <w:rFonts w:hint="eastAsia" w:cs="宋体"/>
          <w:b w:val="0"/>
          <w:bCs w:val="0"/>
          <w:sz w:val="24"/>
          <w:szCs w:val="24"/>
          <w:lang w:val="en-US" w:eastAsia="zh-CN"/>
        </w:rPr>
        <w:t>研究生院</w:t>
      </w:r>
      <w:r>
        <w:rPr>
          <w:rFonts w:ascii="宋体" w:hAnsi="宋体" w:eastAsia="宋体" w:cs="宋体"/>
          <w:b w:val="0"/>
          <w:bCs w:val="0"/>
          <w:sz w:val="24"/>
          <w:szCs w:val="24"/>
        </w:rPr>
        <w:t>〔202</w:t>
      </w:r>
      <w:r>
        <w:rPr>
          <w:rFonts w:hint="eastAsia" w:cs="宋体"/>
          <w:b w:val="0"/>
          <w:bCs w:val="0"/>
          <w:sz w:val="24"/>
          <w:szCs w:val="24"/>
          <w:lang w:val="en-US" w:eastAsia="zh-CN"/>
        </w:rPr>
        <w:t>6</w:t>
      </w:r>
      <w:r>
        <w:rPr>
          <w:rFonts w:ascii="宋体" w:hAnsi="宋体" w:eastAsia="宋体" w:cs="宋体"/>
          <w:b w:val="0"/>
          <w:bCs w:val="0"/>
          <w:sz w:val="24"/>
          <w:szCs w:val="24"/>
        </w:rPr>
        <w:t>〕</w:t>
      </w:r>
      <w:r>
        <w:rPr>
          <w:rFonts w:hint="eastAsia" w:cs="宋体"/>
          <w:b w:val="0"/>
          <w:bCs w:val="0"/>
          <w:sz w:val="24"/>
          <w:szCs w:val="24"/>
          <w:lang w:val="en-US" w:eastAsia="zh-CN"/>
        </w:rPr>
        <w:t>4</w:t>
      </w:r>
      <w:r>
        <w:rPr>
          <w:rFonts w:ascii="宋体" w:hAnsi="宋体" w:eastAsia="宋体" w:cs="宋体"/>
          <w:b w:val="0"/>
          <w:bCs w:val="0"/>
          <w:sz w:val="24"/>
          <w:szCs w:val="24"/>
        </w:rPr>
        <w:t>号）</w:t>
      </w:r>
    </w:p>
    <w:p w14:paraId="4D3B75CC">
      <w:pPr>
        <w:spacing w:before="0" w:after="60" w:line="360" w:lineRule="auto"/>
        <w:ind w:firstLine="0"/>
        <w:jc w:val="both"/>
      </w:pPr>
      <w:r>
        <w:rPr>
          <w:rFonts w:ascii="宋体" w:hAnsi="宋体" w:eastAsia="宋体" w:cs="宋体"/>
          <w:b w:val="0"/>
          <w:bCs w:val="0"/>
          <w:sz w:val="24"/>
          <w:szCs w:val="24"/>
        </w:rPr>
        <w:t>11.《南京中医药大学专业学位研究生联合培养基地建设与管理办法》（南中医大研字〔202</w:t>
      </w:r>
      <w:r>
        <w:rPr>
          <w:rFonts w:hint="eastAsia" w:cs="宋体"/>
          <w:b w:val="0"/>
          <w:bCs w:val="0"/>
          <w:sz w:val="24"/>
          <w:szCs w:val="24"/>
          <w:lang w:val="en-US" w:eastAsia="zh-CN"/>
        </w:rPr>
        <w:t>4</w:t>
      </w:r>
      <w:r>
        <w:rPr>
          <w:rFonts w:ascii="宋体" w:hAnsi="宋体" w:eastAsia="宋体" w:cs="宋体"/>
          <w:b w:val="0"/>
          <w:bCs w:val="0"/>
          <w:sz w:val="24"/>
          <w:szCs w:val="24"/>
        </w:rPr>
        <w:t>〕</w:t>
      </w:r>
      <w:r>
        <w:rPr>
          <w:rFonts w:hint="eastAsia" w:cs="宋体"/>
          <w:b w:val="0"/>
          <w:bCs w:val="0"/>
          <w:sz w:val="24"/>
          <w:szCs w:val="24"/>
          <w:lang w:val="en-US" w:eastAsia="zh-CN"/>
        </w:rPr>
        <w:t>17</w:t>
      </w:r>
      <w:r>
        <w:rPr>
          <w:rFonts w:ascii="宋体" w:hAnsi="宋体" w:eastAsia="宋体" w:cs="宋体"/>
          <w:b w:val="0"/>
          <w:bCs w:val="0"/>
          <w:sz w:val="24"/>
          <w:szCs w:val="24"/>
        </w:rPr>
        <w:t>号）</w:t>
      </w:r>
    </w:p>
    <w:p w14:paraId="3660869E">
      <w:pPr>
        <w:spacing w:before="0" w:after="60" w:line="360" w:lineRule="auto"/>
        <w:ind w:firstLine="0"/>
        <w:jc w:val="both"/>
      </w:pPr>
      <w:r>
        <w:rPr>
          <w:rFonts w:ascii="宋体" w:hAnsi="宋体" w:eastAsia="宋体" w:cs="宋体"/>
          <w:b w:val="0"/>
          <w:bCs w:val="0"/>
          <w:sz w:val="24"/>
          <w:szCs w:val="24"/>
        </w:rPr>
        <w:t>12.《南京中医药大学专业学位研究生行业导师管理办法》（南中医大研字〔202</w:t>
      </w:r>
      <w:r>
        <w:rPr>
          <w:rFonts w:hint="eastAsia" w:cs="宋体"/>
          <w:b w:val="0"/>
          <w:bCs w:val="0"/>
          <w:sz w:val="24"/>
          <w:szCs w:val="24"/>
          <w:lang w:val="en-US" w:eastAsia="zh-CN"/>
        </w:rPr>
        <w:t>4</w:t>
      </w:r>
      <w:r>
        <w:rPr>
          <w:rFonts w:ascii="宋体" w:hAnsi="宋体" w:eastAsia="宋体" w:cs="宋体"/>
          <w:b w:val="0"/>
          <w:bCs w:val="0"/>
          <w:sz w:val="24"/>
          <w:szCs w:val="24"/>
        </w:rPr>
        <w:t>〕</w:t>
      </w:r>
      <w:r>
        <w:rPr>
          <w:rFonts w:hint="eastAsia" w:cs="宋体"/>
          <w:b w:val="0"/>
          <w:bCs w:val="0"/>
          <w:sz w:val="24"/>
          <w:szCs w:val="24"/>
          <w:lang w:val="en-US" w:eastAsia="zh-CN"/>
        </w:rPr>
        <w:t>18</w:t>
      </w:r>
      <w:r>
        <w:rPr>
          <w:rFonts w:ascii="宋体" w:hAnsi="宋体" w:eastAsia="宋体" w:cs="宋体"/>
          <w:b w:val="0"/>
          <w:bCs w:val="0"/>
          <w:sz w:val="24"/>
          <w:szCs w:val="24"/>
        </w:rPr>
        <w:t>号）</w:t>
      </w:r>
    </w:p>
    <w:p w14:paraId="4D9F5C68">
      <w:pPr>
        <w:spacing w:before="0" w:after="60" w:line="360" w:lineRule="auto"/>
        <w:ind w:firstLine="0"/>
        <w:jc w:val="both"/>
        <w:rPr>
          <w:rFonts w:ascii="宋体" w:hAnsi="宋体" w:eastAsia="宋体" w:cs="宋体"/>
          <w:b w:val="0"/>
          <w:bCs w:val="0"/>
          <w:sz w:val="24"/>
          <w:szCs w:val="24"/>
        </w:rPr>
      </w:pPr>
      <w:r>
        <w:t>13.</w:t>
      </w:r>
      <w:r>
        <w:rPr>
          <w:rFonts w:ascii="宋体" w:hAnsi="宋体" w:eastAsia="宋体" w:cs="宋体"/>
          <w:b w:val="0"/>
          <w:bCs w:val="0"/>
          <w:sz w:val="24"/>
          <w:szCs w:val="24"/>
        </w:rPr>
        <w:t>《</w:t>
      </w:r>
      <w:r>
        <w:rPr>
          <w:rFonts w:hint="eastAsia" w:ascii="宋体" w:hAnsi="宋体" w:eastAsia="宋体" w:cs="宋体"/>
          <w:b w:val="0"/>
          <w:bCs w:val="0"/>
          <w:sz w:val="24"/>
          <w:szCs w:val="24"/>
        </w:rPr>
        <w:t>南京中医药大学研究生毕业与学位授予管理办法</w:t>
      </w:r>
      <w:r>
        <w:rPr>
          <w:rFonts w:ascii="宋体" w:hAnsi="宋体" w:eastAsia="宋体" w:cs="宋体"/>
          <w:b w:val="0"/>
          <w:bCs w:val="0"/>
          <w:sz w:val="24"/>
          <w:szCs w:val="24"/>
        </w:rPr>
        <w:t>》（南中医大研字〔2025〕2</w:t>
      </w:r>
      <w:r>
        <w:rPr>
          <w:rFonts w:hint="eastAsia" w:cs="宋体"/>
          <w:b w:val="0"/>
          <w:bCs w:val="0"/>
          <w:sz w:val="24"/>
          <w:szCs w:val="24"/>
          <w:lang w:val="en-US" w:eastAsia="zh-CN"/>
        </w:rPr>
        <w:t>3</w:t>
      </w:r>
      <w:r>
        <w:rPr>
          <w:rFonts w:ascii="宋体" w:hAnsi="宋体" w:eastAsia="宋体" w:cs="宋体"/>
          <w:b w:val="0"/>
          <w:bCs w:val="0"/>
          <w:sz w:val="24"/>
          <w:szCs w:val="24"/>
        </w:rPr>
        <w:t>号）</w:t>
      </w:r>
    </w:p>
    <w:p w14:paraId="7E052B6A">
      <w:pPr>
        <w:spacing w:before="0" w:after="60" w:line="360" w:lineRule="auto"/>
        <w:ind w:firstLine="0"/>
        <w:jc w:val="both"/>
      </w:pPr>
      <w:r>
        <w:t>14.《南京中医药大学研究生学籍管理</w:t>
      </w:r>
      <w:r>
        <w:rPr>
          <w:rFonts w:hint="eastAsia"/>
          <w:lang w:val="en-US" w:eastAsia="zh-CN"/>
        </w:rPr>
        <w:t>实施细则</w:t>
      </w:r>
      <w:r>
        <w:t>》</w:t>
      </w:r>
      <w:r>
        <w:rPr>
          <w:rFonts w:ascii="宋体" w:hAnsi="宋体" w:eastAsia="宋体" w:cs="宋体"/>
          <w:b w:val="0"/>
          <w:bCs w:val="0"/>
          <w:sz w:val="24"/>
          <w:szCs w:val="24"/>
        </w:rPr>
        <w:t>（南中医大研字〔2025〕2</w:t>
      </w:r>
      <w:r>
        <w:rPr>
          <w:rFonts w:hint="eastAsia" w:cs="宋体"/>
          <w:b w:val="0"/>
          <w:bCs w:val="0"/>
          <w:sz w:val="24"/>
          <w:szCs w:val="24"/>
          <w:lang w:val="en-US" w:eastAsia="zh-CN"/>
        </w:rPr>
        <w:t>9</w:t>
      </w:r>
      <w:r>
        <w:rPr>
          <w:rFonts w:ascii="宋体" w:hAnsi="宋体" w:eastAsia="宋体" w:cs="宋体"/>
          <w:b w:val="0"/>
          <w:bCs w:val="0"/>
          <w:sz w:val="24"/>
          <w:szCs w:val="24"/>
        </w:rPr>
        <w:t>号）</w:t>
      </w:r>
    </w:p>
    <w:p w14:paraId="1F2D955D">
      <w:pPr>
        <w:spacing w:before="0" w:after="60" w:line="360" w:lineRule="auto"/>
        <w:ind w:firstLine="0"/>
        <w:jc w:val="both"/>
      </w:pPr>
      <w:r>
        <w:t>15.《南京中医药大学研究生课程教学管理办法》</w:t>
      </w:r>
      <w:r>
        <w:rPr>
          <w:rFonts w:ascii="宋体" w:hAnsi="宋体" w:eastAsia="宋体" w:cs="宋体"/>
          <w:b w:val="0"/>
          <w:bCs w:val="0"/>
          <w:sz w:val="24"/>
          <w:szCs w:val="24"/>
        </w:rPr>
        <w:t>（南中医大研字〔2025〕2</w:t>
      </w:r>
      <w:r>
        <w:rPr>
          <w:rFonts w:hint="eastAsia" w:cs="宋体"/>
          <w:b w:val="0"/>
          <w:bCs w:val="0"/>
          <w:sz w:val="24"/>
          <w:szCs w:val="24"/>
          <w:lang w:val="en-US" w:eastAsia="zh-CN"/>
        </w:rPr>
        <w:t>8</w:t>
      </w:r>
      <w:r>
        <w:rPr>
          <w:rFonts w:ascii="宋体" w:hAnsi="宋体" w:eastAsia="宋体" w:cs="宋体"/>
          <w:b w:val="0"/>
          <w:bCs w:val="0"/>
          <w:sz w:val="24"/>
          <w:szCs w:val="24"/>
        </w:rPr>
        <w:t>号）</w:t>
      </w:r>
    </w:p>
    <w:p w14:paraId="0843033F">
      <w:r>
        <w:br w:type="page"/>
      </w:r>
    </w:p>
    <w:p w14:paraId="78538A4A">
      <w:pPr>
        <w:spacing w:before="156" w:beforeLines="50" w:after="156" w:afterLines="50" w:line="400" w:lineRule="exact"/>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2026级***全日制专业</w:t>
      </w:r>
      <w:r>
        <w:rPr>
          <w:rFonts w:hint="eastAsia" w:ascii="Times New Roman" w:hAnsi="Times New Roman" w:eastAsia="黑体" w:cs="Times New Roman"/>
          <w:sz w:val="24"/>
          <w:szCs w:val="24"/>
          <w:lang w:val="en-US" w:eastAsia="zh-CN"/>
        </w:rPr>
        <w:t>学位</w:t>
      </w:r>
      <w:r>
        <w:rPr>
          <w:rFonts w:hint="eastAsia" w:ascii="黑体" w:hAnsi="黑体" w:eastAsia="黑体"/>
          <w:sz w:val="24"/>
          <w:szCs w:val="24"/>
          <w:lang w:val="en-US" w:eastAsia="zh-CN"/>
        </w:rPr>
        <w:t>硕/博士</w:t>
      </w:r>
      <w:r>
        <w:rPr>
          <w:rFonts w:hint="default" w:ascii="Times New Roman" w:hAnsi="Times New Roman" w:eastAsia="黑体" w:cs="Times New Roman"/>
          <w:sz w:val="24"/>
          <w:szCs w:val="24"/>
          <w:lang w:val="en-US" w:eastAsia="zh-CN"/>
        </w:rPr>
        <w:t>研究生</w:t>
      </w:r>
      <w:r>
        <w:rPr>
          <w:rFonts w:hint="default" w:ascii="Times New Roman" w:hAnsi="Times New Roman" w:eastAsia="黑体" w:cs="Times New Roman"/>
          <w:sz w:val="24"/>
          <w:szCs w:val="24"/>
        </w:rPr>
        <w:t>课程</w:t>
      </w:r>
      <w:r>
        <w:rPr>
          <w:rFonts w:hint="default" w:ascii="Times New Roman" w:hAnsi="Times New Roman" w:eastAsia="黑体" w:cs="Times New Roman"/>
          <w:sz w:val="24"/>
          <w:szCs w:val="24"/>
          <w:lang w:val="en-US" w:eastAsia="zh-CN"/>
        </w:rPr>
        <w:t>设置</w:t>
      </w:r>
      <w:r>
        <w:rPr>
          <w:rFonts w:hint="eastAsia" w:ascii="Times New Roman" w:hAnsi="Times New Roman" w:eastAsia="黑体" w:cs="Times New Roman"/>
          <w:sz w:val="24"/>
          <w:szCs w:val="24"/>
          <w:lang w:val="en-US" w:eastAsia="zh-CN"/>
        </w:rPr>
        <w:t>与主要环节学分要求</w:t>
      </w:r>
    </w:p>
    <w:tbl>
      <w:tblPr>
        <w:tblStyle w:val="12"/>
        <w:tblW w:w="9457"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168"/>
        <w:gridCol w:w="1683"/>
        <w:gridCol w:w="951"/>
        <w:gridCol w:w="2242"/>
        <w:gridCol w:w="707"/>
        <w:gridCol w:w="744"/>
        <w:gridCol w:w="732"/>
        <w:gridCol w:w="1230"/>
      </w:tblGrid>
      <w:tr w14:paraId="13E53F4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168"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59D4154B">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课程</w:t>
            </w:r>
          </w:p>
          <w:p w14:paraId="409A4493">
            <w:pPr>
              <w:widowControl w:val="0"/>
              <w:snapToGrid w:val="0"/>
              <w:spacing w:before="0" w:beforeLines="-2147483648" w:line="360" w:lineRule="auto"/>
              <w:ind w:left="0" w:leftChars="0" w:right="0" w:rightChars="0" w:firstLine="0" w:firstLineChars="0"/>
              <w:jc w:val="center"/>
              <w:rPr>
                <w:rFonts w:ascii="仿宋" w:hAnsi="Calibri" w:eastAsia="仿宋" w:cs="Times New Roman"/>
                <w:b/>
                <w:kern w:val="2"/>
                <w:sz w:val="24"/>
                <w:vertAlign w:val="baseline"/>
                <w:lang w:val="en-US" w:eastAsia="zh-CN" w:bidi="ar-SA"/>
              </w:rPr>
            </w:pPr>
            <w:r>
              <w:rPr>
                <w:rFonts w:hint="eastAsia" w:ascii="仿宋" w:hAnsi="仿宋" w:eastAsia="仿宋" w:cs="仿宋"/>
                <w:b/>
                <w:bCs/>
                <w:kern w:val="2"/>
                <w:sz w:val="24"/>
                <w:szCs w:val="24"/>
                <w:vertAlign w:val="baseline"/>
                <w:lang w:val="en-US" w:eastAsia="zh-CN" w:bidi="ar-SA"/>
              </w:rPr>
              <w:t>类别</w:t>
            </w:r>
          </w:p>
        </w:tc>
        <w:tc>
          <w:tcPr>
            <w:tcW w:w="1683"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7F109626">
            <w:pPr>
              <w:widowControl w:val="0"/>
              <w:snapToGrid w:val="0"/>
              <w:spacing w:before="0" w:beforeLines="-2147483648" w:line="360" w:lineRule="auto"/>
              <w:ind w:left="0" w:leftChars="0" w:right="0" w:rightChars="0" w:firstLine="0" w:firstLineChars="0"/>
              <w:jc w:val="center"/>
              <w:rPr>
                <w:rFonts w:hint="default" w:ascii="仿宋" w:hAnsi="Calibri" w:eastAsia="仿宋" w:cs="Times New Roman"/>
                <w:b/>
                <w:kern w:val="2"/>
                <w:sz w:val="24"/>
                <w:vertAlign w:val="baseline"/>
                <w:lang w:val="en-US" w:eastAsia="zh-CN" w:bidi="ar-SA"/>
              </w:rPr>
            </w:pPr>
            <w:r>
              <w:rPr>
                <w:rFonts w:hint="eastAsia" w:ascii="仿宋" w:hAnsi="仿宋" w:eastAsia="仿宋" w:cs="仿宋"/>
                <w:b/>
                <w:bCs/>
                <w:kern w:val="2"/>
                <w:sz w:val="24"/>
                <w:szCs w:val="24"/>
                <w:vertAlign w:val="baseline"/>
                <w:lang w:val="en-US" w:eastAsia="zh-CN" w:bidi="ar-SA"/>
              </w:rPr>
              <w:t>课程性质</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C9520B7">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课程</w:t>
            </w:r>
          </w:p>
          <w:p w14:paraId="4C0AC0C1">
            <w:pPr>
              <w:widowControl w:val="0"/>
              <w:snapToGrid w:val="0"/>
              <w:spacing w:before="0" w:beforeLines="-2147483648" w:line="360" w:lineRule="auto"/>
              <w:ind w:left="0" w:leftChars="0" w:right="0" w:rightChars="0" w:firstLine="0" w:firstLineChars="0"/>
              <w:jc w:val="center"/>
              <w:rPr>
                <w:rFonts w:ascii="仿宋" w:hAnsi="Calibri" w:eastAsia="仿宋" w:cs="Times New Roman"/>
                <w:b/>
                <w:kern w:val="2"/>
                <w:sz w:val="24"/>
                <w:vertAlign w:val="baseline"/>
                <w:lang w:val="en-US" w:eastAsia="zh-CN" w:bidi="ar-SA"/>
              </w:rPr>
            </w:pPr>
            <w:r>
              <w:rPr>
                <w:rFonts w:hint="eastAsia" w:ascii="仿宋" w:hAnsi="仿宋" w:eastAsia="仿宋" w:cs="仿宋"/>
                <w:b/>
                <w:bCs/>
                <w:kern w:val="2"/>
                <w:sz w:val="24"/>
                <w:szCs w:val="24"/>
                <w:vertAlign w:val="baseline"/>
                <w:lang w:val="en-US" w:eastAsia="zh-CN" w:bidi="ar-SA"/>
              </w:rPr>
              <w:t>代码</w:t>
            </w:r>
          </w:p>
        </w:tc>
        <w:tc>
          <w:tcPr>
            <w:tcW w:w="224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641D06F2">
            <w:pPr>
              <w:widowControl w:val="0"/>
              <w:snapToGrid w:val="0"/>
              <w:spacing w:before="0" w:beforeLines="-2147483648" w:line="360" w:lineRule="auto"/>
              <w:ind w:left="0" w:leftChars="0" w:right="0" w:rightChars="0" w:firstLine="0" w:firstLineChars="0"/>
              <w:jc w:val="center"/>
              <w:rPr>
                <w:rFonts w:ascii="仿宋" w:hAnsi="Calibri" w:eastAsia="仿宋" w:cs="Times New Roman"/>
                <w:b/>
                <w:kern w:val="2"/>
                <w:sz w:val="24"/>
                <w:vertAlign w:val="baseline"/>
                <w:lang w:val="en-US" w:eastAsia="zh-CN" w:bidi="ar-SA"/>
              </w:rPr>
            </w:pPr>
            <w:r>
              <w:rPr>
                <w:rFonts w:hint="eastAsia" w:ascii="仿宋" w:hAnsi="仿宋" w:eastAsia="仿宋" w:cs="仿宋"/>
                <w:b/>
                <w:bCs/>
                <w:kern w:val="2"/>
                <w:sz w:val="24"/>
                <w:szCs w:val="24"/>
                <w:vertAlign w:val="baseline"/>
                <w:lang w:val="en-US" w:eastAsia="zh-CN" w:bidi="ar-SA"/>
              </w:rPr>
              <w:t>课程名称</w:t>
            </w:r>
          </w:p>
        </w:tc>
        <w:tc>
          <w:tcPr>
            <w:tcW w:w="707"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20CBE34F">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学时</w:t>
            </w:r>
          </w:p>
        </w:tc>
        <w:tc>
          <w:tcPr>
            <w:tcW w:w="744"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2B604001">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学分</w:t>
            </w:r>
          </w:p>
        </w:tc>
        <w:tc>
          <w:tcPr>
            <w:tcW w:w="73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3F7FE5ED">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学期</w:t>
            </w:r>
          </w:p>
        </w:tc>
        <w:tc>
          <w:tcPr>
            <w:tcW w:w="1230"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0B52EF22">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备注</w:t>
            </w:r>
          </w:p>
        </w:tc>
      </w:tr>
      <w:tr w14:paraId="78B68D8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restar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24749D7">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学位课</w:t>
            </w:r>
          </w:p>
          <w:p w14:paraId="36A494EE">
            <w:pPr>
              <w:widowControl w:val="0"/>
              <w:snapToGrid w:val="0"/>
              <w:spacing w:before="0" w:beforeLines="-2147483648" w:line="360" w:lineRule="auto"/>
              <w:ind w:left="0" w:leftChars="0" w:right="0" w:rightChars="0" w:firstLine="0" w:firstLineChars="0"/>
              <w:jc w:val="center"/>
              <w:rPr>
                <w:rFonts w:hint="default" w:ascii="仿宋" w:hAnsi="仿宋" w:eastAsia="仿宋" w:cs="仿宋"/>
                <w:b/>
                <w:bCs/>
                <w:kern w:val="2"/>
                <w:sz w:val="24"/>
                <w:szCs w:val="24"/>
                <w:vertAlign w:val="baseline"/>
                <w:lang w:val="en-US" w:eastAsia="zh-CN" w:bidi="ar-SA"/>
              </w:rPr>
            </w:pPr>
            <w:r>
              <w:rPr>
                <w:rFonts w:hint="eastAsia" w:ascii="仿宋" w:hAnsi="仿宋" w:eastAsia="仿宋" w:cs="仿宋"/>
                <w:color w:val="auto"/>
                <w:kern w:val="2"/>
                <w:sz w:val="21"/>
                <w:szCs w:val="21"/>
                <w:lang w:val="en-US" w:eastAsia="zh-CN" w:bidi="ar-SA"/>
              </w:rPr>
              <w:t>（</w:t>
            </w:r>
            <w:r>
              <w:rPr>
                <w:rFonts w:hint="eastAsia" w:ascii="仿宋" w:hAnsi="仿宋" w:eastAsia="仿宋" w:cs="仿宋"/>
                <w:kern w:val="2"/>
                <w:sz w:val="21"/>
                <w:szCs w:val="21"/>
                <w:lang w:val="en-US" w:eastAsia="zh-CN" w:bidi="ar-SA"/>
              </w:rPr>
              <w:t>*学分）</w:t>
            </w:r>
          </w:p>
        </w:tc>
        <w:tc>
          <w:tcPr>
            <w:tcW w:w="1683"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0B497A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公共必修课</w:t>
            </w:r>
          </w:p>
          <w:p w14:paraId="1FDFA7F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（*学分）</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5993ED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A2D4A37">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公共英语</w:t>
            </w: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584888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F981CC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6FEAAD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E83F52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6A0386B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06A12F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1BB1C9B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B59AF3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39AFB60">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政治课</w:t>
            </w: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6C3482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AA6863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4684EB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B45F0C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2B4DC7C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EBCE08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31ACBD0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49C5FB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1"/>
                <w:vertAlign w:val="baseline"/>
                <w:lang w:val="en-US" w:eastAsia="zh-CN" w:bidi="ar-SA"/>
              </w:rPr>
              <w:t>B002018</w:t>
            </w:r>
          </w:p>
        </w:tc>
        <w:tc>
          <w:tcPr>
            <w:tcW w:w="224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14F2F95">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人工智能</w:t>
            </w:r>
          </w:p>
        </w:tc>
        <w:tc>
          <w:tcPr>
            <w:tcW w:w="707"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D4BE0F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36</w:t>
            </w:r>
          </w:p>
        </w:tc>
        <w:tc>
          <w:tcPr>
            <w:tcW w:w="74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DFF49B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vertAlign w:val="baseline"/>
                <w:lang w:val="en-US" w:eastAsia="zh-CN" w:bidi="ar-SA"/>
              </w:rPr>
              <w:t>2</w:t>
            </w:r>
          </w:p>
        </w:tc>
        <w:tc>
          <w:tcPr>
            <w:tcW w:w="73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A1D7C8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vertAlign w:val="baseline"/>
                <w:lang w:val="en-US" w:eastAsia="zh-CN" w:bidi="ar-SA"/>
              </w:rPr>
              <w:t>1</w:t>
            </w:r>
          </w:p>
        </w:tc>
        <w:tc>
          <w:tcPr>
            <w:tcW w:w="1230"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341AAD5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博士必修</w:t>
            </w:r>
          </w:p>
        </w:tc>
      </w:tr>
      <w:tr w14:paraId="03173ED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E0AFA5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44B6629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7538B2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1"/>
                <w:vertAlign w:val="baseline"/>
                <w:lang w:val="en-US" w:eastAsia="zh-CN" w:bidi="ar-SA"/>
              </w:rPr>
              <w:t>S010022</w:t>
            </w:r>
          </w:p>
        </w:tc>
        <w:tc>
          <w:tcPr>
            <w:tcW w:w="224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81C049B">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人工智能前沿技术</w:t>
            </w:r>
          </w:p>
        </w:tc>
        <w:tc>
          <w:tcPr>
            <w:tcW w:w="707"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CA7701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36</w:t>
            </w:r>
          </w:p>
        </w:tc>
        <w:tc>
          <w:tcPr>
            <w:tcW w:w="74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A4B3B4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vertAlign w:val="baseline"/>
                <w:lang w:val="en-US" w:eastAsia="zh-CN" w:bidi="ar-SA"/>
              </w:rPr>
              <w:t>2</w:t>
            </w:r>
          </w:p>
        </w:tc>
        <w:tc>
          <w:tcPr>
            <w:tcW w:w="73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829AD9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vertAlign w:val="baseline"/>
                <w:lang w:val="en-US" w:eastAsia="zh-CN" w:bidi="ar-SA"/>
              </w:rPr>
              <w:t>1</w:t>
            </w:r>
          </w:p>
        </w:tc>
        <w:tc>
          <w:tcPr>
            <w:tcW w:w="1230"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3B97710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硕士必修</w:t>
            </w:r>
          </w:p>
        </w:tc>
      </w:tr>
      <w:tr w14:paraId="0D5E300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9B578B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11E3456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DC18DD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E778F2E">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7D5A67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3FDBE5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C3988D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DD513A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2D29A73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31F81A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5EF44C97">
            <w:pPr>
              <w:widowControl w:val="0"/>
              <w:snapToGrid w:val="0"/>
              <w:spacing w:before="0" w:beforeLines="-2147483648" w:line="36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专业基础课</w:t>
            </w:r>
          </w:p>
          <w:p w14:paraId="3C9CB71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color w:val="auto"/>
                <w:kern w:val="2"/>
                <w:sz w:val="21"/>
                <w:szCs w:val="21"/>
                <w:lang w:val="en-US" w:eastAsia="zh-CN" w:bidi="ar-SA"/>
              </w:rPr>
              <w:t>（</w:t>
            </w:r>
            <w:r>
              <w:rPr>
                <w:rFonts w:hint="eastAsia" w:ascii="仿宋" w:hAnsi="仿宋" w:eastAsia="仿宋" w:cs="仿宋"/>
                <w:kern w:val="2"/>
                <w:sz w:val="21"/>
                <w:szCs w:val="21"/>
                <w:lang w:val="en-US" w:eastAsia="zh-CN" w:bidi="ar-SA"/>
              </w:rPr>
              <w:t>*学分）</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79C6399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C99D59B">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F58036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3ABAC3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C27A2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E2E1B1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2013F0E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862B98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7B2207D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CDB818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6E7BA76">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E7368F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B72BDA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838F3B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B6B912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7A1BCD3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25612A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596D03D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6A8B8A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1F952A0">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5F7F6E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D80CEA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C7E6B2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A8C0AE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2B74DA0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20CD3D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156CD8B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B41D42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9700883">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9BEDB9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E169B5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576968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347D2B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1C16F42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FD9D46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7F0E731D">
            <w:pPr>
              <w:keepNext w:val="0"/>
              <w:keepLines w:val="0"/>
              <w:pageBreakBefore w:val="0"/>
              <w:widowControl w:val="0"/>
              <w:kinsoku/>
              <w:wordWrap/>
              <w:overflowPunct/>
              <w:topLinePunct w:val="0"/>
              <w:autoSpaceDE/>
              <w:autoSpaceDN/>
              <w:bidi w:val="0"/>
              <w:adjustRightInd/>
              <w:snapToGrid w:val="0"/>
              <w:spacing w:before="100" w:beforeLines="-2147483648" w:beforeAutospacing="1" w:line="360" w:lineRule="auto"/>
              <w:ind w:left="0" w:leftChars="0" w:right="0" w:rightChars="0"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专业课</w:t>
            </w:r>
          </w:p>
          <w:p w14:paraId="293076D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color w:val="auto"/>
                <w:kern w:val="2"/>
                <w:sz w:val="21"/>
                <w:szCs w:val="21"/>
                <w:lang w:val="en-US" w:eastAsia="zh-CN" w:bidi="ar-SA"/>
              </w:rPr>
              <w:t>（</w:t>
            </w:r>
            <w:r>
              <w:rPr>
                <w:rFonts w:hint="eastAsia" w:ascii="仿宋" w:hAnsi="仿宋" w:eastAsia="仿宋" w:cs="仿宋"/>
                <w:kern w:val="2"/>
                <w:sz w:val="21"/>
                <w:szCs w:val="21"/>
                <w:lang w:val="en-US" w:eastAsia="zh-CN" w:bidi="ar-SA"/>
              </w:rPr>
              <w:t>*学分）</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525C98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63C8BD5">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7067C9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EF0B9F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7B12FC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vMerge w:val="restar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C5A6FB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方向一</w:t>
            </w:r>
          </w:p>
        </w:tc>
      </w:tr>
      <w:tr w14:paraId="6D7BBC5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1B74A4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2F3EADA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7DA811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6D179A6">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6BAA65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B253E0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8C44A0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vMerge w:val="continue"/>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2B8310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28F4056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262188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3FF1A4F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552E83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4EB96C8">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D63B7D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126E47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997A3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vMerge w:val="restar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FA7A30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方向二</w:t>
            </w:r>
          </w:p>
        </w:tc>
      </w:tr>
      <w:tr w14:paraId="4F76A14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ACAA84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7D5DA62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B826A0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C60574D">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23A9ED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70858D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C6E6FB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vMerge w:val="continue"/>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B6EE9F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14E0FB4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3A771A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2D5B36A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EBDAAB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D8EDCE1">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91C87E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C96C83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6982A5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vMerge w:val="restar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578180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方向三</w:t>
            </w:r>
          </w:p>
        </w:tc>
      </w:tr>
      <w:tr w14:paraId="4239B70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4FC888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EB28C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D30AF1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A62D581">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6F10B0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048385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CAF181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vMerge w:val="continue"/>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D6FBD5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41EA7D0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2AAB56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0F98566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488962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F835D0E">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1A8D98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654423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C1CCF2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vMerge w:val="restar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8FAEDA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方向四</w:t>
            </w:r>
          </w:p>
        </w:tc>
      </w:tr>
      <w:tr w14:paraId="6C8386B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0AE2BC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599CCBE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C3A476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060B858">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7B6C36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179963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96ACC2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vMerge w:val="continue"/>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7804BD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5DF9478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7EA4D6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353104B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D13129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09EDE16">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C79FE2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200B44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73559F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AEA652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w:t>
            </w:r>
          </w:p>
        </w:tc>
      </w:tr>
      <w:tr w14:paraId="0C5DB81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restar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163E3A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b/>
                <w:bCs/>
                <w:kern w:val="2"/>
                <w:sz w:val="24"/>
                <w:szCs w:val="24"/>
                <w:vertAlign w:val="baseline"/>
                <w:lang w:val="en-US" w:eastAsia="zh-CN" w:bidi="ar-SA"/>
              </w:rPr>
              <w:t>非学位课</w:t>
            </w:r>
          </w:p>
        </w:tc>
        <w:tc>
          <w:tcPr>
            <w:tcW w:w="1683"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6784310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vertAlign w:val="baseline"/>
                <w:lang w:val="en-US" w:eastAsia="zh-CN" w:bidi="ar-SA"/>
              </w:rPr>
              <w:t>选修课</w:t>
            </w:r>
          </w:p>
          <w:p w14:paraId="69A8042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vertAlign w:val="baseline"/>
                <w:lang w:val="en-US" w:eastAsia="zh-CN" w:bidi="ar-SA"/>
              </w:rPr>
              <w:t>（</w:t>
            </w:r>
            <w:r>
              <w:rPr>
                <w:rFonts w:hint="eastAsia" w:ascii="仿宋" w:hAnsi="仿宋" w:eastAsia="仿宋" w:cs="仿宋"/>
                <w:kern w:val="2"/>
                <w:sz w:val="21"/>
                <w:szCs w:val="21"/>
                <w:lang w:val="en-US" w:eastAsia="zh-CN" w:bidi="ar-SA"/>
              </w:rPr>
              <w:t>*学分</w:t>
            </w:r>
            <w:r>
              <w:rPr>
                <w:rFonts w:hint="eastAsia" w:ascii="仿宋" w:hAnsi="仿宋" w:eastAsia="仿宋" w:cs="仿宋"/>
                <w:kern w:val="2"/>
                <w:sz w:val="21"/>
                <w:vertAlign w:val="baseline"/>
                <w:lang w:val="en-US" w:eastAsia="zh-CN" w:bidi="ar-SA"/>
              </w:rPr>
              <w:t>）</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6F30C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F8CB03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82FEFA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25F2D0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4709CF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58DBD3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33D3928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765AAE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4A20ADC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6B8291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A5CA41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07832F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B2312C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64589A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CAA418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7C7DB4C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91390F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4E3B769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48DAC1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EC54B9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BE227E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6A365B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5B717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E348CE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59E3BD4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7DF285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683"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7124966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5035C8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24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1AB26E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0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E76372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31C10E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73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72A2DE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23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2D96D0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0474C38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restar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E0954A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b/>
                <w:bCs/>
                <w:spacing w:val="-11"/>
                <w:kern w:val="2"/>
                <w:sz w:val="21"/>
                <w:szCs w:val="24"/>
                <w:vertAlign w:val="baseline"/>
                <w:lang w:val="en-US" w:eastAsia="zh-CN" w:bidi="ar-SA"/>
              </w:rPr>
              <w:t>必</w:t>
            </w:r>
            <w:r>
              <w:rPr>
                <w:rFonts w:hint="eastAsia" w:ascii="仿宋" w:hAnsi="仿宋" w:eastAsia="仿宋" w:cs="仿宋"/>
                <w:b/>
                <w:bCs/>
                <w:spacing w:val="-6"/>
                <w:kern w:val="2"/>
                <w:sz w:val="21"/>
                <w:szCs w:val="24"/>
                <w:vertAlign w:val="baseline"/>
                <w:lang w:val="en-US" w:eastAsia="zh-CN" w:bidi="ar-SA"/>
              </w:rPr>
              <w:t>修</w:t>
            </w:r>
            <w:r>
              <w:rPr>
                <w:rFonts w:hint="eastAsia" w:ascii="仿宋" w:hAnsi="仿宋" w:eastAsia="仿宋" w:cs="仿宋"/>
                <w:b/>
                <w:bCs/>
                <w:kern w:val="2"/>
                <w:sz w:val="21"/>
                <w:szCs w:val="24"/>
                <w:vertAlign w:val="baseline"/>
                <w:lang w:val="en-US" w:eastAsia="zh-CN" w:bidi="ar-SA"/>
              </w:rPr>
              <w:t>环节</w:t>
            </w:r>
          </w:p>
        </w:tc>
        <w:tc>
          <w:tcPr>
            <w:tcW w:w="5583" w:type="dxa"/>
            <w:gridSpan w:val="4"/>
            <w:tcBorders>
              <w:top w:val="single" w:color="auto" w:sz="4" w:space="0"/>
              <w:left w:val="single" w:color="auto" w:sz="4" w:space="0"/>
              <w:bottom w:val="nil"/>
              <w:right w:val="nil"/>
            </w:tcBorders>
            <w:noWrap w:val="0"/>
            <w:tcMar>
              <w:top w:w="-1" w:type="dxa"/>
              <w:left w:w="-1" w:type="dxa"/>
              <w:bottom w:w="-1" w:type="dxa"/>
              <w:right w:w="-1" w:type="dxa"/>
            </w:tcMar>
            <w:vAlign w:val="center"/>
          </w:tcPr>
          <w:p w14:paraId="47D72DD8">
            <w:pPr>
              <w:keepNext w:val="0"/>
              <w:keepLines w:val="0"/>
              <w:pageBreakBefore w:val="0"/>
              <w:widowControl w:val="0"/>
              <w:kinsoku/>
              <w:wordWrap/>
              <w:overflowPunct/>
              <w:topLinePunct w:val="0"/>
              <w:autoSpaceDE/>
              <w:autoSpaceDN/>
              <w:bidi w:val="0"/>
              <w:adjustRightInd/>
              <w:snapToGrid w:val="0"/>
              <w:spacing w:before="50" w:beforeLines="-2147483648" w:line="360" w:lineRule="auto"/>
              <w:ind w:left="0" w:leftChars="0" w:right="0" w:rightChars="0" w:firstLine="0" w:firstLineChars="0"/>
              <w:jc w:val="center"/>
              <w:textAlignment w:val="auto"/>
              <w:rPr>
                <w:rFonts w:hint="eastAsia" w:ascii="仿宋" w:hAnsi="仿宋" w:eastAsia="仿宋" w:cs="仿宋"/>
                <w:color w:val="auto"/>
                <w:kern w:val="2"/>
                <w:sz w:val="21"/>
                <w:vertAlign w:val="baseline"/>
                <w:lang w:val="en-US" w:eastAsia="zh-CN" w:bidi="ar-SA"/>
              </w:rPr>
            </w:pPr>
            <w:r>
              <w:rPr>
                <w:rFonts w:hint="eastAsia" w:ascii="仿宋" w:hAnsi="仿宋" w:eastAsia="仿宋" w:cs="仿宋"/>
                <w:b w:val="0"/>
                <w:bCs w:val="0"/>
                <w:color w:val="auto"/>
                <w:kern w:val="2"/>
                <w:sz w:val="21"/>
                <w:szCs w:val="21"/>
                <w:lang w:val="en-US" w:eastAsia="zh-CN" w:bidi="ar-SA"/>
              </w:rPr>
              <w:t>示例：行业学习与交流</w:t>
            </w: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F4D8B43">
            <w:pPr>
              <w:keepNext w:val="0"/>
              <w:keepLines w:val="0"/>
              <w:pageBreakBefore w:val="0"/>
              <w:widowControl w:val="0"/>
              <w:kinsoku/>
              <w:wordWrap/>
              <w:overflowPunct/>
              <w:topLinePunct w:val="0"/>
              <w:autoSpaceDE/>
              <w:autoSpaceDN/>
              <w:bidi w:val="0"/>
              <w:adjustRightInd/>
              <w:snapToGrid w:val="0"/>
              <w:spacing w:before="50" w:beforeLines="-2147483648" w:line="360" w:lineRule="auto"/>
              <w:ind w:left="0" w:leftChars="0" w:right="0" w:rightChars="0" w:firstLine="0" w:firstLineChars="0"/>
              <w:jc w:val="center"/>
              <w:textAlignment w:val="auto"/>
              <w:rPr>
                <w:rFonts w:hint="default"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1</w:t>
            </w:r>
          </w:p>
        </w:tc>
        <w:tc>
          <w:tcPr>
            <w:tcW w:w="1962" w:type="dxa"/>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6DE16BA">
            <w:pPr>
              <w:widowControl w:val="0"/>
              <w:snapToGrid w:val="0"/>
              <w:spacing w:before="0" w:beforeLines="-2147483648" w:line="360" w:lineRule="auto"/>
              <w:ind w:left="0" w:leftChars="0" w:right="0" w:rightChars="0" w:firstLine="0" w:firstLineChars="0"/>
              <w:jc w:val="left"/>
              <w:rPr>
                <w:rFonts w:hint="eastAsia" w:ascii="仿宋" w:hAnsi="仿宋" w:eastAsia="仿宋" w:cs="仿宋"/>
                <w:color w:val="auto"/>
                <w:kern w:val="2"/>
                <w:sz w:val="21"/>
                <w:vertAlign w:val="baseline"/>
                <w:lang w:val="en-US" w:eastAsia="zh-CN" w:bidi="ar-SA"/>
              </w:rPr>
            </w:pPr>
          </w:p>
        </w:tc>
      </w:tr>
      <w:tr w14:paraId="0239D11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92"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1BA4E1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583" w:type="dxa"/>
            <w:gridSpan w:val="4"/>
            <w:tcBorders>
              <w:top w:val="single" w:color="auto" w:sz="4" w:space="0"/>
              <w:left w:val="single" w:color="auto" w:sz="4" w:space="0"/>
              <w:bottom w:val="nil"/>
              <w:right w:val="nil"/>
            </w:tcBorders>
            <w:noWrap w:val="0"/>
            <w:tcMar>
              <w:top w:w="-1" w:type="dxa"/>
              <w:left w:w="-1" w:type="dxa"/>
              <w:bottom w:w="-1" w:type="dxa"/>
              <w:right w:w="-1" w:type="dxa"/>
            </w:tcMar>
            <w:vAlign w:val="center"/>
          </w:tcPr>
          <w:p w14:paraId="68667D96">
            <w:pPr>
              <w:widowControl w:val="0"/>
              <w:snapToGrid w:val="0"/>
              <w:spacing w:before="0" w:beforeLines="-2147483648" w:line="360" w:lineRule="auto"/>
              <w:ind w:left="0" w:leftChars="0" w:right="0" w:rightChars="0" w:firstLine="0" w:firstLineChars="0"/>
              <w:jc w:val="center"/>
              <w:rPr>
                <w:rFonts w:hint="eastAsia" w:ascii="仿宋" w:hAnsi="仿宋" w:eastAsia="仿宋" w:cs="仿宋"/>
                <w:color w:val="auto"/>
                <w:kern w:val="2"/>
                <w:sz w:val="21"/>
                <w:vertAlign w:val="baseline"/>
                <w:lang w:val="en-US" w:eastAsia="zh-CN" w:bidi="ar-SA"/>
              </w:rPr>
            </w:pPr>
            <w:r>
              <w:rPr>
                <w:rFonts w:hint="eastAsia" w:ascii="仿宋" w:hAnsi="仿宋" w:eastAsia="仿宋" w:cs="仿宋"/>
                <w:b w:val="0"/>
                <w:bCs w:val="0"/>
                <w:color w:val="auto"/>
                <w:kern w:val="2"/>
                <w:sz w:val="21"/>
                <w:szCs w:val="21"/>
                <w:lang w:val="en-US" w:eastAsia="zh-CN" w:bidi="ar-SA"/>
              </w:rPr>
              <w:t>示例（博士）：行业会议报告</w:t>
            </w: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116093A">
            <w:pPr>
              <w:widowControl w:val="0"/>
              <w:snapToGrid w:val="0"/>
              <w:spacing w:before="0" w:beforeLines="-2147483648" w:line="360" w:lineRule="auto"/>
              <w:ind w:left="0" w:leftChars="0" w:right="0" w:rightChars="0" w:firstLine="0" w:firstLineChars="0"/>
              <w:jc w:val="center"/>
              <w:rPr>
                <w:rFonts w:hint="default"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1</w:t>
            </w:r>
          </w:p>
        </w:tc>
        <w:tc>
          <w:tcPr>
            <w:tcW w:w="1962" w:type="dxa"/>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6138B9A">
            <w:pPr>
              <w:widowControl w:val="0"/>
              <w:snapToGrid w:val="0"/>
              <w:spacing w:before="0" w:beforeLines="-2147483648" w:line="360" w:lineRule="auto"/>
              <w:ind w:left="0" w:leftChars="0" w:right="0" w:rightChars="0" w:firstLine="0" w:firstLineChars="0"/>
              <w:jc w:val="left"/>
              <w:rPr>
                <w:rFonts w:hint="default" w:ascii="仿宋" w:hAnsi="仿宋" w:eastAsia="仿宋" w:cs="仿宋"/>
                <w:color w:val="auto"/>
                <w:kern w:val="2"/>
                <w:sz w:val="18"/>
                <w:szCs w:val="18"/>
                <w:vertAlign w:val="baseline"/>
                <w:lang w:val="en-US" w:eastAsia="zh-CN" w:bidi="ar-SA"/>
              </w:rPr>
            </w:pPr>
          </w:p>
        </w:tc>
      </w:tr>
      <w:tr w14:paraId="1B075E4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8768E1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583" w:type="dxa"/>
            <w:gridSpan w:val="4"/>
            <w:tcBorders>
              <w:top w:val="single" w:color="auto" w:sz="4" w:space="0"/>
              <w:left w:val="single" w:color="auto" w:sz="4" w:space="0"/>
              <w:bottom w:val="nil"/>
              <w:right w:val="nil"/>
            </w:tcBorders>
            <w:noWrap w:val="0"/>
            <w:tcMar>
              <w:top w:w="-1" w:type="dxa"/>
              <w:left w:w="-1" w:type="dxa"/>
              <w:bottom w:w="-1" w:type="dxa"/>
              <w:right w:w="-1" w:type="dxa"/>
            </w:tcMar>
            <w:vAlign w:val="center"/>
          </w:tcPr>
          <w:p w14:paraId="1CEA5A22">
            <w:pPr>
              <w:keepNext w:val="0"/>
              <w:keepLines w:val="0"/>
              <w:pageBreakBefore w:val="0"/>
              <w:widowControl w:val="0"/>
              <w:kinsoku/>
              <w:wordWrap/>
              <w:overflowPunct/>
              <w:topLinePunct w:val="0"/>
              <w:autoSpaceDE/>
              <w:autoSpaceDN/>
              <w:bidi w:val="0"/>
              <w:adjustRightInd/>
              <w:snapToGrid w:val="0"/>
              <w:spacing w:before="50" w:beforeLines="-2147483648" w:line="360" w:lineRule="auto"/>
              <w:ind w:left="0" w:leftChars="0" w:right="0" w:rightChars="0" w:firstLine="0" w:firstLineChars="0"/>
              <w:jc w:val="center"/>
              <w:textAlignment w:val="auto"/>
              <w:rPr>
                <w:rFonts w:hint="default" w:ascii="仿宋" w:hAnsi="仿宋" w:eastAsia="仿宋" w:cs="仿宋"/>
                <w:color w:val="auto"/>
                <w:kern w:val="2"/>
                <w:sz w:val="21"/>
                <w:vertAlign w:val="baseline"/>
                <w:lang w:val="en-US" w:eastAsia="zh-CN" w:bidi="ar-SA"/>
              </w:rPr>
            </w:pPr>
            <w:r>
              <w:rPr>
                <w:rFonts w:hint="eastAsia" w:ascii="仿宋" w:hAnsi="仿宋" w:eastAsia="仿宋" w:cs="仿宋"/>
                <w:color w:val="auto"/>
                <w:kern w:val="2"/>
                <w:sz w:val="21"/>
                <w:vertAlign w:val="baseline"/>
                <w:lang w:val="en-US" w:eastAsia="zh-CN" w:bidi="ar-SA"/>
              </w:rPr>
              <w:t>示例：行业（专业）实践</w:t>
            </w: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2D4E261">
            <w:pPr>
              <w:keepNext w:val="0"/>
              <w:keepLines w:val="0"/>
              <w:pageBreakBefore w:val="0"/>
              <w:widowControl w:val="0"/>
              <w:kinsoku/>
              <w:wordWrap/>
              <w:overflowPunct/>
              <w:topLinePunct w:val="0"/>
              <w:autoSpaceDE/>
              <w:autoSpaceDN/>
              <w:bidi w:val="0"/>
              <w:adjustRightInd/>
              <w:snapToGrid w:val="0"/>
              <w:spacing w:before="50" w:beforeLines="-2147483648" w:line="360" w:lineRule="auto"/>
              <w:ind w:left="0" w:leftChars="0" w:right="0" w:rightChars="0" w:firstLine="0" w:firstLineChars="0"/>
              <w:jc w:val="center"/>
              <w:textAlignment w:val="auto"/>
              <w:rPr>
                <w:rFonts w:hint="default" w:ascii="仿宋" w:hAnsi="仿宋" w:eastAsia="仿宋" w:cs="仿宋"/>
                <w:b w:val="0"/>
                <w:bCs w:val="0"/>
                <w:color w:val="auto"/>
                <w:kern w:val="2"/>
                <w:sz w:val="21"/>
                <w:szCs w:val="21"/>
                <w:lang w:val="en-US" w:eastAsia="zh-CN" w:bidi="ar-SA"/>
              </w:rPr>
            </w:pPr>
          </w:p>
        </w:tc>
        <w:tc>
          <w:tcPr>
            <w:tcW w:w="1962" w:type="dxa"/>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CBC3AC3">
            <w:pPr>
              <w:widowControl w:val="0"/>
              <w:snapToGrid w:val="0"/>
              <w:spacing w:before="0" w:beforeLines="-2147483648" w:line="360" w:lineRule="auto"/>
              <w:ind w:left="0" w:leftChars="0" w:right="0" w:rightChars="0" w:firstLine="0" w:firstLineChars="0"/>
              <w:jc w:val="center"/>
              <w:rPr>
                <w:rFonts w:hint="default" w:ascii="仿宋" w:hAnsi="仿宋" w:eastAsia="仿宋" w:cs="仿宋"/>
                <w:color w:val="auto"/>
                <w:kern w:val="2"/>
                <w:sz w:val="21"/>
                <w:vertAlign w:val="baseline"/>
                <w:lang w:val="en-US" w:eastAsia="zh-CN" w:bidi="ar-SA"/>
              </w:rPr>
            </w:pPr>
          </w:p>
        </w:tc>
      </w:tr>
      <w:tr w14:paraId="00F7087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68"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6FC5A5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583" w:type="dxa"/>
            <w:gridSpan w:val="4"/>
            <w:tcBorders>
              <w:top w:val="single" w:color="auto" w:sz="4" w:space="0"/>
              <w:left w:val="single" w:color="auto" w:sz="4" w:space="0"/>
              <w:bottom w:val="nil"/>
              <w:right w:val="nil"/>
            </w:tcBorders>
            <w:noWrap w:val="0"/>
            <w:tcMar>
              <w:top w:w="-1" w:type="dxa"/>
              <w:left w:w="-1" w:type="dxa"/>
              <w:bottom w:w="-1" w:type="dxa"/>
              <w:right w:w="-1" w:type="dxa"/>
            </w:tcMar>
            <w:vAlign w:val="center"/>
          </w:tcPr>
          <w:p w14:paraId="4670F1B3">
            <w:pPr>
              <w:keepNext w:val="0"/>
              <w:keepLines w:val="0"/>
              <w:pageBreakBefore w:val="0"/>
              <w:widowControl w:val="0"/>
              <w:kinsoku/>
              <w:wordWrap/>
              <w:overflowPunct/>
              <w:topLinePunct w:val="0"/>
              <w:autoSpaceDE/>
              <w:autoSpaceDN/>
              <w:bidi w:val="0"/>
              <w:adjustRightInd/>
              <w:snapToGrid w:val="0"/>
              <w:spacing w:before="50" w:beforeLines="-2147483648" w:line="360" w:lineRule="auto"/>
              <w:ind w:left="0" w:leftChars="0" w:right="0" w:rightChars="0" w:firstLine="0" w:firstLineChars="0"/>
              <w:jc w:val="center"/>
              <w:textAlignment w:val="auto"/>
              <w:rPr>
                <w:rFonts w:hint="eastAsia" w:ascii="仿宋" w:hAnsi="仿宋" w:eastAsia="仿宋" w:cs="仿宋"/>
                <w:color w:val="0000FF"/>
                <w:kern w:val="2"/>
                <w:sz w:val="21"/>
                <w:vertAlign w:val="baseline"/>
                <w:lang w:val="en-US" w:eastAsia="zh-CN" w:bidi="ar-SA"/>
              </w:rPr>
            </w:pPr>
            <w:r>
              <w:rPr>
                <w:rFonts w:hint="eastAsia" w:ascii="仿宋" w:hAnsi="仿宋" w:eastAsia="仿宋" w:cs="仿宋"/>
                <w:kern w:val="2"/>
                <w:sz w:val="21"/>
                <w:szCs w:val="21"/>
                <w:lang w:val="en-US" w:eastAsia="zh-CN" w:bidi="ar-SA"/>
              </w:rPr>
              <w:t>……</w:t>
            </w:r>
          </w:p>
        </w:tc>
        <w:tc>
          <w:tcPr>
            <w:tcW w:w="7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215CBD">
            <w:pPr>
              <w:keepNext w:val="0"/>
              <w:keepLines w:val="0"/>
              <w:pageBreakBefore w:val="0"/>
              <w:widowControl w:val="0"/>
              <w:kinsoku/>
              <w:wordWrap/>
              <w:overflowPunct/>
              <w:topLinePunct w:val="0"/>
              <w:autoSpaceDE/>
              <w:autoSpaceDN/>
              <w:bidi w:val="0"/>
              <w:adjustRightInd/>
              <w:snapToGrid w:val="0"/>
              <w:spacing w:before="50" w:beforeLines="-2147483648" w:line="360" w:lineRule="auto"/>
              <w:ind w:left="0" w:leftChars="0" w:right="0" w:rightChars="0" w:firstLine="0" w:firstLineChars="0"/>
              <w:jc w:val="center"/>
              <w:textAlignment w:val="auto"/>
              <w:rPr>
                <w:rFonts w:hint="default" w:ascii="仿宋" w:hAnsi="仿宋" w:eastAsia="仿宋" w:cs="仿宋"/>
                <w:b w:val="0"/>
                <w:bCs w:val="0"/>
                <w:kern w:val="2"/>
                <w:sz w:val="21"/>
                <w:szCs w:val="21"/>
                <w:lang w:val="en-US" w:eastAsia="zh-CN" w:bidi="ar-SA"/>
              </w:rPr>
            </w:pPr>
          </w:p>
        </w:tc>
        <w:tc>
          <w:tcPr>
            <w:tcW w:w="1962" w:type="dxa"/>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1EF2265">
            <w:pPr>
              <w:widowControl w:val="0"/>
              <w:snapToGrid w:val="0"/>
              <w:spacing w:before="0" w:beforeLines="-2147483648" w:line="360" w:lineRule="auto"/>
              <w:ind w:left="0" w:leftChars="0" w:right="0" w:rightChars="0" w:firstLine="0" w:firstLineChars="0"/>
              <w:jc w:val="center"/>
              <w:rPr>
                <w:rFonts w:hint="default" w:ascii="仿宋" w:hAnsi="仿宋" w:eastAsia="仿宋" w:cs="仿宋"/>
                <w:kern w:val="2"/>
                <w:sz w:val="21"/>
                <w:vertAlign w:val="baseline"/>
                <w:lang w:val="en-US" w:eastAsia="zh-CN" w:bidi="ar-SA"/>
              </w:rPr>
            </w:pPr>
          </w:p>
        </w:tc>
      </w:tr>
      <w:tr w14:paraId="34B0EC2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851" w:type="dxa"/>
            <w:gridSpan w:val="2"/>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08B86473">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kern w:val="2"/>
                <w:sz w:val="21"/>
                <w:vertAlign w:val="baseline"/>
                <w:lang w:val="en-US" w:eastAsia="zh-CN" w:bidi="ar-SA"/>
              </w:rPr>
            </w:pPr>
            <w:r>
              <w:rPr>
                <w:rFonts w:hint="eastAsia" w:ascii="仿宋" w:hAnsi="仿宋" w:eastAsia="仿宋" w:cs="仿宋"/>
                <w:b/>
                <w:bCs/>
                <w:kern w:val="2"/>
                <w:sz w:val="21"/>
                <w:szCs w:val="21"/>
                <w:lang w:val="en-US" w:eastAsia="zh-CN" w:bidi="ar-SA"/>
              </w:rPr>
              <w:t>总学分</w:t>
            </w:r>
          </w:p>
        </w:tc>
        <w:tc>
          <w:tcPr>
            <w:tcW w:w="6606" w:type="dxa"/>
            <w:gridSpan w:val="6"/>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7FDE42CE">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kern w:val="2"/>
                <w:sz w:val="21"/>
                <w:vertAlign w:val="baseline"/>
                <w:lang w:val="en-US" w:eastAsia="zh-CN" w:bidi="ar-SA"/>
              </w:rPr>
            </w:pPr>
            <w:r>
              <w:rPr>
                <w:rFonts w:hint="eastAsia" w:ascii="仿宋" w:hAnsi="仿宋" w:eastAsia="仿宋" w:cs="仿宋"/>
                <w:b/>
                <w:bCs/>
                <w:kern w:val="2"/>
                <w:sz w:val="21"/>
                <w:szCs w:val="21"/>
                <w:lang w:val="en-US" w:eastAsia="zh-CN" w:bidi="ar-SA"/>
              </w:rPr>
              <w:t>不低于</w:t>
            </w:r>
            <w:r>
              <w:rPr>
                <w:rFonts w:hint="eastAsia" w:ascii="仿宋" w:hAnsi="仿宋" w:eastAsia="仿宋" w:cs="仿宋"/>
                <w:b/>
                <w:bCs/>
                <w:color w:val="FF0000"/>
                <w:kern w:val="2"/>
                <w:sz w:val="21"/>
                <w:szCs w:val="21"/>
                <w:lang w:val="en-US" w:eastAsia="zh-CN" w:bidi="ar-SA"/>
              </w:rPr>
              <w:t xml:space="preserve"> * </w:t>
            </w:r>
            <w:r>
              <w:rPr>
                <w:rFonts w:hint="eastAsia" w:ascii="仿宋" w:hAnsi="仿宋" w:eastAsia="仿宋" w:cs="仿宋"/>
                <w:b/>
                <w:bCs/>
                <w:kern w:val="2"/>
                <w:sz w:val="21"/>
                <w:szCs w:val="21"/>
                <w:lang w:val="en-US" w:eastAsia="zh-CN" w:bidi="ar-SA"/>
              </w:rPr>
              <w:t>学分</w:t>
            </w:r>
          </w:p>
        </w:tc>
      </w:tr>
    </w:tbl>
    <w:p w14:paraId="3A97E4ED">
      <w:pPr>
        <w:spacing w:before="0" w:after="0"/>
        <w:ind w:left="0" w:leftChars="0" w:firstLine="0" w:firstLineChars="0"/>
        <w:rPr>
          <w:rFonts w:hint="default" w:eastAsia="宋体"/>
          <w:sz w:val="21"/>
          <w:szCs w:val="21"/>
          <w:lang w:val="en-US" w:eastAsia="zh-CN"/>
        </w:rPr>
      </w:pPr>
    </w:p>
    <w:sectPr>
      <w:headerReference r:id="rId5" w:type="default"/>
      <w:footerReference r:id="rId6" w:type="default"/>
      <w:pgSz w:w="11906" w:h="16838"/>
      <w:pgMar w:top="1440" w:right="1440" w:bottom="1440" w:left="144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858FF">
    <w:pPr>
      <w:jc w:val="center"/>
    </w:pPr>
    <w:r>
      <w:rPr>
        <w:rFonts w:ascii="宋体" w:hAnsi="宋体" w:eastAsia="宋体" w:cs="宋体"/>
        <w:sz w:val="18"/>
        <w:szCs w:val="18"/>
      </w:rPr>
      <w:t xml:space="preserve">第 </w:t>
    </w:r>
    <w:r>
      <w:rPr>
        <w:rFonts w:ascii="宋体" w:hAnsi="宋体" w:eastAsia="宋体" w:cs="宋体"/>
        <w:sz w:val="18"/>
        <w:szCs w:val="18"/>
      </w:rPr>
      <w:fldChar w:fldCharType="begin"/>
    </w:r>
    <w:r>
      <w:rPr>
        <w:rFonts w:ascii="宋体" w:hAnsi="宋体" w:eastAsia="宋体" w:cs="宋体"/>
        <w:sz w:val="18"/>
        <w:szCs w:val="18"/>
      </w:rPr>
      <w:instrText xml:space="preserve">PAGE</w:instrText>
    </w:r>
    <w:r>
      <w:rPr>
        <w:rFonts w:ascii="宋体" w:hAnsi="宋体" w:eastAsia="宋体" w:cs="宋体"/>
        <w:sz w:val="18"/>
        <w:szCs w:val="18"/>
      </w:rPr>
      <w:fldChar w:fldCharType="separate"/>
    </w:r>
    <w:r>
      <w:rPr>
        <w:rFonts w:ascii="宋体" w:hAnsi="宋体" w:eastAsia="宋体" w:cs="宋体"/>
        <w:sz w:val="18"/>
        <w:szCs w:val="18"/>
      </w:rPr>
      <w:fldChar w:fldCharType="end"/>
    </w:r>
    <w:r>
      <w:rPr>
        <w:rFonts w:ascii="宋体" w:hAnsi="宋体" w:eastAsia="宋体" w:cs="宋体"/>
        <w:sz w:val="18"/>
        <w:szCs w:val="18"/>
      </w:rPr>
      <w:t xml:space="preserve"> 页 共 </w:t>
    </w:r>
    <w:r>
      <w:rPr>
        <w:rFonts w:ascii="宋体" w:hAnsi="宋体" w:eastAsia="宋体" w:cs="宋体"/>
        <w:sz w:val="18"/>
        <w:szCs w:val="18"/>
      </w:rPr>
      <w:fldChar w:fldCharType="begin"/>
    </w:r>
    <w:r>
      <w:rPr>
        <w:rFonts w:ascii="宋体" w:hAnsi="宋体" w:eastAsia="宋体" w:cs="宋体"/>
        <w:sz w:val="18"/>
        <w:szCs w:val="18"/>
      </w:rPr>
      <w:instrText xml:space="preserve">NUMPAGES</w:instrText>
    </w:r>
    <w:r>
      <w:rPr>
        <w:rFonts w:ascii="宋体" w:hAnsi="宋体" w:eastAsia="宋体" w:cs="宋体"/>
        <w:sz w:val="18"/>
        <w:szCs w:val="18"/>
      </w:rPr>
      <w:fldChar w:fldCharType="separate"/>
    </w:r>
    <w:r>
      <w:rPr>
        <w:rFonts w:ascii="宋体" w:hAnsi="宋体" w:eastAsia="宋体" w:cs="宋体"/>
        <w:sz w:val="18"/>
        <w:szCs w:val="18"/>
      </w:rPr>
      <w:fldChar w:fldCharType="end"/>
    </w:r>
    <w:r>
      <w:rPr>
        <w:rFonts w:ascii="宋体" w:hAnsi="宋体" w:eastAsia="宋体" w:cs="宋体"/>
        <w:sz w:val="18"/>
        <w:szCs w:val="18"/>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49299">
    <w:pPr>
      <w:jc w:val="center"/>
    </w:pPr>
    <w:r>
      <w:rPr>
        <w:rFonts w:ascii="宋体" w:hAnsi="宋体" w:eastAsia="宋体" w:cs="宋体"/>
        <w:color w:val="808080"/>
        <w:sz w:val="18"/>
        <w:szCs w:val="18"/>
      </w:rPr>
      <w:t>南京中医药大学专业学位研究生培养方案模板（2026级）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93ADE"/>
    <w:multiLevelType w:val="singleLevel"/>
    <w:tmpl w:val="58293AD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
  <w:rsids>
    <w:rsidRoot w:val="00000000"/>
    <w:rsid w:val="026D1C80"/>
    <w:rsid w:val="06270193"/>
    <w:rsid w:val="07E0507A"/>
    <w:rsid w:val="0AAA0C13"/>
    <w:rsid w:val="0F9669B8"/>
    <w:rsid w:val="12E06028"/>
    <w:rsid w:val="1556126C"/>
    <w:rsid w:val="15E90E46"/>
    <w:rsid w:val="16E1163D"/>
    <w:rsid w:val="2AFC52F7"/>
    <w:rsid w:val="2B4D2282"/>
    <w:rsid w:val="2C620039"/>
    <w:rsid w:val="2F096CB6"/>
    <w:rsid w:val="31CC1DA3"/>
    <w:rsid w:val="33486C8B"/>
    <w:rsid w:val="36104440"/>
    <w:rsid w:val="3CF962FA"/>
    <w:rsid w:val="3D0438FA"/>
    <w:rsid w:val="434763FE"/>
    <w:rsid w:val="458D04FD"/>
    <w:rsid w:val="484643AA"/>
    <w:rsid w:val="4EFA5F70"/>
    <w:rsid w:val="4F06359A"/>
    <w:rsid w:val="50FD54F0"/>
    <w:rsid w:val="51827794"/>
    <w:rsid w:val="53B65521"/>
    <w:rsid w:val="5CFF06AF"/>
    <w:rsid w:val="5E527A44"/>
    <w:rsid w:val="5FE5531C"/>
    <w:rsid w:val="61DE332D"/>
    <w:rsid w:val="621C1A8D"/>
    <w:rsid w:val="639F0694"/>
    <w:rsid w:val="6B7834E8"/>
    <w:rsid w:val="6FEF42B0"/>
    <w:rsid w:val="71E005CF"/>
    <w:rsid w:val="73010267"/>
    <w:rsid w:val="7CAF05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tabs>
        <w:tab w:val="left" w:pos="0"/>
        <w:tab w:val="left" w:pos="420"/>
      </w:tabs>
      <w:snapToGrid w:val="0"/>
      <w:spacing w:before="50" w:beforeLines="50" w:line="360" w:lineRule="auto"/>
      <w:ind w:left="0" w:leftChars="0" w:firstLine="643" w:firstLineChars="200"/>
      <w:jc w:val="both"/>
    </w:pPr>
    <w:rPr>
      <w:rFonts w:ascii="宋体" w:hAnsi="宋体" w:eastAsia="宋体" w:cs="宋体"/>
      <w:sz w:val="24"/>
      <w:szCs w:val="24"/>
    </w:rPr>
  </w:style>
  <w:style w:type="paragraph" w:styleId="2">
    <w:name w:val="heading 1"/>
    <w:next w:val="1"/>
    <w:qFormat/>
    <w:uiPriority w:val="0"/>
    <w:pPr>
      <w:spacing w:before="240" w:after="120"/>
      <w:outlineLvl w:val="0"/>
    </w:pPr>
    <w:rPr>
      <w:rFonts w:ascii="黑体" w:hAnsi="黑体" w:eastAsia="黑体" w:cs="黑体"/>
      <w:b/>
      <w:bCs/>
      <w:sz w:val="32"/>
      <w:szCs w:val="32"/>
    </w:rPr>
  </w:style>
  <w:style w:type="paragraph" w:styleId="3">
    <w:name w:val="heading 2"/>
    <w:next w:val="1"/>
    <w:qFormat/>
    <w:uiPriority w:val="0"/>
    <w:pPr>
      <w:spacing w:before="180" w:after="120"/>
      <w:outlineLvl w:val="1"/>
    </w:pPr>
    <w:rPr>
      <w:rFonts w:ascii="黑体" w:hAnsi="黑体" w:eastAsia="黑体" w:cs="黑体"/>
      <w:b/>
      <w:bCs/>
      <w:sz w:val="28"/>
      <w:szCs w:val="28"/>
    </w:rPr>
  </w:style>
  <w:style w:type="paragraph" w:styleId="4">
    <w:name w:val="heading 3"/>
    <w:next w:val="1"/>
    <w:qFormat/>
    <w:uiPriority w:val="0"/>
    <w:rPr>
      <w:rFonts w:ascii="宋体" w:hAnsi="宋体" w:eastAsia="宋体" w:cs="宋体"/>
      <w:color w:val="1F4D78"/>
      <w:sz w:val="24"/>
      <w:szCs w:val="24"/>
    </w:rPr>
  </w:style>
  <w:style w:type="paragraph" w:styleId="5">
    <w:name w:val="heading 4"/>
    <w:next w:val="1"/>
    <w:qFormat/>
    <w:uiPriority w:val="0"/>
    <w:rPr>
      <w:rFonts w:ascii="宋体" w:hAnsi="宋体" w:eastAsia="宋体" w:cs="宋体"/>
      <w:i/>
      <w:iCs/>
      <w:color w:val="2E74B5"/>
      <w:sz w:val="24"/>
      <w:szCs w:val="24"/>
    </w:rPr>
  </w:style>
  <w:style w:type="paragraph" w:styleId="6">
    <w:name w:val="heading 5"/>
    <w:next w:val="1"/>
    <w:qFormat/>
    <w:uiPriority w:val="0"/>
    <w:rPr>
      <w:rFonts w:ascii="宋体" w:hAnsi="宋体" w:eastAsia="宋体" w:cs="宋体"/>
      <w:color w:val="2E74B5"/>
      <w:sz w:val="24"/>
      <w:szCs w:val="24"/>
    </w:rPr>
  </w:style>
  <w:style w:type="paragraph" w:styleId="7">
    <w:name w:val="heading 6"/>
    <w:next w:val="1"/>
    <w:qFormat/>
    <w:uiPriority w:val="0"/>
    <w:rPr>
      <w:rFonts w:ascii="宋体" w:hAnsi="宋体" w:eastAsia="宋体" w:cs="宋体"/>
      <w:color w:val="1F4D78"/>
      <w:sz w:val="24"/>
      <w:szCs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endnote text"/>
    <w:link w:val="19"/>
    <w:semiHidden/>
    <w:unhideWhenUsed/>
    <w:qFormat/>
    <w:uiPriority w:val="99"/>
    <w:pPr>
      <w:spacing w:after="0" w:line="240" w:lineRule="auto"/>
    </w:pPr>
    <w:rPr>
      <w:rFonts w:ascii="宋体" w:hAnsi="宋体" w:eastAsia="宋体" w:cs="宋体"/>
      <w:sz w:val="20"/>
      <w:szCs w:val="20"/>
    </w:rPr>
  </w:style>
  <w:style w:type="paragraph" w:styleId="9">
    <w:name w:val="footnote text"/>
    <w:link w:val="18"/>
    <w:semiHidden/>
    <w:unhideWhenUsed/>
    <w:qFormat/>
    <w:uiPriority w:val="99"/>
    <w:pPr>
      <w:spacing w:after="0" w:line="240" w:lineRule="auto"/>
    </w:pPr>
    <w:rPr>
      <w:rFonts w:ascii="宋体" w:hAnsi="宋体" w:eastAsia="宋体" w:cs="宋体"/>
      <w:sz w:val="20"/>
      <w:szCs w:val="20"/>
    </w:rPr>
  </w:style>
  <w:style w:type="paragraph" w:styleId="10">
    <w:name w:val="Title"/>
    <w:qFormat/>
    <w:uiPriority w:val="0"/>
    <w:rPr>
      <w:rFonts w:ascii="宋体" w:hAnsi="宋体" w:eastAsia="宋体" w:cs="宋体"/>
      <w:sz w:val="56"/>
      <w:szCs w:val="56"/>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ndnote reference"/>
    <w:semiHidden/>
    <w:unhideWhenUsed/>
    <w:qFormat/>
    <w:uiPriority w:val="99"/>
    <w:rPr>
      <w:vertAlign w:val="superscript"/>
    </w:rPr>
  </w:style>
  <w:style w:type="character" w:styleId="15">
    <w:name w:val="Hyperlink"/>
    <w:unhideWhenUsed/>
    <w:qFormat/>
    <w:uiPriority w:val="99"/>
    <w:rPr>
      <w:color w:val="0563C1"/>
      <w:u w:val="single"/>
    </w:rPr>
  </w:style>
  <w:style w:type="character" w:styleId="16">
    <w:name w:val="footnote reference"/>
    <w:semiHidden/>
    <w:unhideWhenUsed/>
    <w:qFormat/>
    <w:uiPriority w:val="99"/>
    <w:rPr>
      <w:vertAlign w:val="superscript"/>
    </w:rPr>
  </w:style>
  <w:style w:type="paragraph" w:styleId="17">
    <w:name w:val="List Paragraph"/>
    <w:qFormat/>
    <w:uiPriority w:val="0"/>
    <w:rPr>
      <w:rFonts w:ascii="宋体" w:hAnsi="宋体" w:eastAsia="宋体" w:cs="宋体"/>
      <w:sz w:val="24"/>
      <w:szCs w:val="24"/>
    </w:rPr>
  </w:style>
  <w:style w:type="character" w:customStyle="1" w:styleId="18">
    <w:name w:val="Footnote Text Char"/>
    <w:link w:val="9"/>
    <w:semiHidden/>
    <w:unhideWhenUsed/>
    <w:qFormat/>
    <w:uiPriority w:val="99"/>
    <w:rPr>
      <w:sz w:val="20"/>
      <w:szCs w:val="20"/>
    </w:rPr>
  </w:style>
  <w:style w:type="character" w:customStyle="1" w:styleId="19">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5851</Words>
  <Characters>6057</Characters>
  <TotalTime>1</TotalTime>
  <ScaleCrop>false</ScaleCrop>
  <LinksUpToDate>false</LinksUpToDate>
  <CharactersWithSpaces>6209</CharactersWithSpaces>
  <Application>WPS Office_12.1.0.26884_F1E327BC-269C-435d-A152-05C5408002CA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2026-06-18T03:30:00Z</dcterms:created>
  <dc:creator>Un-named</dc:creator>
  <cp:lastModifiedBy>卢金花</cp:lastModifiedBy>
  <dcterms:modified xsi:type="dcterms:W3CDTF">2026-07-14T06:44:48Z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eyJoZGlkIjoiMTcxZTdiYjgwZGIzN2ZiNTAxMmZhMDAzM2M4MWIzZWQiLCJ1c2VySWQiOiIxNzE2NTUwMDE2In0=</vt:lpwstr>
  </property>
  <property fmtid="{D5CDD505-2E9C-101B-9397-08002B2CF9AE}" pid="3" name="KSOProductBuildVer">
    <vt:lpwstr>2052-12.1.0.26884</vt:lpwstr>
  </property>
  <property fmtid="{D5CDD505-2E9C-101B-9397-08002B2CF9AE}" pid="4" name="ICV">
    <vt:lpwstr>511E5A636F3F441F91E06F0824DC57CA_13</vt:lpwstr>
  </property>
</Properties>
</file>