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/>
          <w:b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ascii="Times New Roman" w:hAnsi="Times New Roman" w:eastAsia="方正小标宋简体"/>
          <w:b/>
          <w:sz w:val="44"/>
          <w:szCs w:val="44"/>
        </w:rPr>
      </w:pPr>
      <w:r>
        <w:rPr>
          <w:rFonts w:hint="eastAsia" w:ascii="Times New Roman" w:hAnsi="Times New Roman" w:eastAsia="方正小标宋简体"/>
          <w:b/>
          <w:sz w:val="44"/>
          <w:szCs w:val="44"/>
        </w:rPr>
        <w:t>关于印发《江苏省产业教授（研究生导师类）选聘办法》的通知</w:t>
      </w:r>
    </w:p>
    <w:p>
      <w:pPr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苏教规〔</w:t>
      </w:r>
      <w:r>
        <w:rPr>
          <w:rFonts w:ascii="Times New Roman" w:hAnsi="Times New Roman" w:eastAsia="仿宋_GB2312"/>
          <w:sz w:val="32"/>
          <w:szCs w:val="32"/>
        </w:rPr>
        <w:t>2018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号</w:t>
      </w:r>
    </w:p>
    <w:p>
      <w:pPr>
        <w:spacing w:line="600" w:lineRule="exact"/>
        <w:rPr>
          <w:rFonts w:ascii="Times New Roman" w:hAnsi="Times New Roman" w:eastAsia="仿宋_GB2312"/>
          <w:sz w:val="32"/>
        </w:rPr>
      </w:pPr>
    </w:p>
    <w:p>
      <w:pPr>
        <w:spacing w:line="600" w:lineRule="exact"/>
        <w:jc w:val="center"/>
        <w:rPr>
          <w:rFonts w:ascii="Times New Roman" w:hAnsi="Times New Roman" w:eastAsia="华文中宋"/>
          <w:b/>
          <w:sz w:val="44"/>
          <w:szCs w:val="44"/>
        </w:rPr>
      </w:pPr>
      <w:bookmarkStart w:id="0" w:name="_Hlk500788676"/>
      <w:r>
        <w:rPr>
          <w:rFonts w:hint="eastAsia" w:ascii="Times New Roman" w:hAnsi="Times New Roman" w:eastAsia="华文中宋"/>
          <w:b/>
          <w:sz w:val="44"/>
          <w:szCs w:val="44"/>
        </w:rPr>
        <w:t>江苏省产业教授（研究生导师类）选聘办法</w:t>
      </w:r>
    </w:p>
    <w:p>
      <w:pPr>
        <w:spacing w:before="312" w:beforeLines="100" w:after="312" w:afterLines="100" w:line="600" w:lineRule="exact"/>
        <w:jc w:val="center"/>
        <w:rPr>
          <w:rFonts w:ascii="Times New Roman" w:hAnsi="Times New Roman" w:eastAsia="黑体"/>
          <w:color w:val="141414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141414"/>
          <w:kern w:val="0"/>
          <w:sz w:val="32"/>
          <w:szCs w:val="32"/>
        </w:rPr>
        <w:t>第一章</w:t>
      </w:r>
      <w:r>
        <w:rPr>
          <w:rFonts w:ascii="Times New Roman" w:hAnsi="Times New Roman" w:eastAsia="黑体"/>
          <w:color w:val="141414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黑体"/>
          <w:color w:val="141414"/>
          <w:kern w:val="0"/>
          <w:sz w:val="32"/>
          <w:szCs w:val="32"/>
        </w:rPr>
        <w:t>总则</w:t>
      </w:r>
    </w:p>
    <w:p>
      <w:pPr>
        <w:spacing w:line="600" w:lineRule="exact"/>
        <w:rPr>
          <w:rFonts w:ascii="Times New Roman" w:hAnsi="Times New Roman" w:eastAsia="仿宋_GB2312"/>
          <w:color w:val="111111"/>
          <w:sz w:val="32"/>
          <w:szCs w:val="32"/>
        </w:rPr>
      </w:pPr>
      <w:r>
        <w:rPr>
          <w:rFonts w:ascii="Times New Roman" w:hAnsi="Times New Roman" w:eastAsia="仿宋_GB2312"/>
          <w:b/>
          <w:kern w:val="0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b/>
          <w:kern w:val="0"/>
          <w:sz w:val="32"/>
          <w:szCs w:val="32"/>
        </w:rPr>
        <w:t>第一条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为深入贯彻习近平新时代中国特色社会主义思想，认真落实国务院办公厅《关于深化产教融合的若干意见》，促进教育链、人才链与产业链、创新链有机衔接，江</w:t>
      </w:r>
      <w:r>
        <w:rPr>
          <w:rFonts w:hint="eastAsia" w:ascii="Times New Roman" w:hAnsi="Times New Roman" w:eastAsia="仿宋_GB2312"/>
          <w:sz w:val="32"/>
          <w:szCs w:val="32"/>
        </w:rPr>
        <w:t>苏省人才办、省教育厅、省科技厅、省人力资源和社会保障厅、省财政厅（以下简称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省五部门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）在具有硕士及以上学位授权普通高校（含服务国家特殊需求人才培养项目高校）开展</w:t>
      </w:r>
      <w:r>
        <w:rPr>
          <w:rFonts w:hint="eastAsia" w:ascii="Times New Roman" w:hAnsi="Times New Roman" w:eastAsia="仿宋_GB2312"/>
          <w:color w:val="111111"/>
          <w:sz w:val="32"/>
          <w:szCs w:val="32"/>
        </w:rPr>
        <w:t>产业教授选聘工作（研究生导师类，下同）。</w:t>
      </w:r>
    </w:p>
    <w:p>
      <w:pPr>
        <w:adjustRightInd w:val="0"/>
        <w:snapToGrid w:val="0"/>
        <w:spacing w:line="600" w:lineRule="exact"/>
        <w:ind w:firstLine="66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kern w:val="0"/>
          <w:sz w:val="32"/>
          <w:szCs w:val="32"/>
        </w:rPr>
        <w:t>第二条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color w:val="111111"/>
          <w:sz w:val="32"/>
          <w:szCs w:val="32"/>
        </w:rPr>
        <w:t>开展产业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教授选聘工作</w:t>
      </w:r>
      <w:r>
        <w:rPr>
          <w:rFonts w:hint="eastAsia" w:ascii="Times New Roman" w:hAnsi="Times New Roman" w:eastAsia="仿宋_GB2312"/>
          <w:color w:val="111111"/>
          <w:sz w:val="32"/>
          <w:szCs w:val="32"/>
        </w:rPr>
        <w:t>旨在进一步深化产教融合，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加强</w:t>
      </w:r>
      <w:r>
        <w:rPr>
          <w:rFonts w:hint="eastAsia" w:ascii="Times New Roman" w:hAnsi="Times New Roman" w:eastAsia="仿宋_GB2312"/>
          <w:sz w:val="32"/>
          <w:szCs w:val="32"/>
        </w:rPr>
        <w:t>研究生导师队伍建设，为培养高层次创新型人才、推进高水平科技成果转化提供重要支持和制度保障。</w:t>
      </w:r>
    </w:p>
    <w:p>
      <w:pPr>
        <w:adjustRightInd w:val="0"/>
        <w:snapToGrid w:val="0"/>
        <w:spacing w:line="600" w:lineRule="exact"/>
        <w:ind w:firstLine="66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kern w:val="0"/>
          <w:sz w:val="32"/>
          <w:szCs w:val="32"/>
        </w:rPr>
        <w:t>第三条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产业教授实行聘任制，按需设岗、公开选聘、择优聘任、合同管理。每年选聘</w:t>
      </w:r>
      <w:r>
        <w:rPr>
          <w:rFonts w:ascii="Times New Roman" w:hAnsi="Times New Roman" w:eastAsia="仿宋_GB2312"/>
          <w:sz w:val="32"/>
          <w:szCs w:val="32"/>
        </w:rPr>
        <w:t>200</w:t>
      </w:r>
      <w:r>
        <w:rPr>
          <w:rFonts w:hint="eastAsia" w:ascii="Times New Roman" w:hAnsi="Times New Roman" w:eastAsia="仿宋_GB2312"/>
          <w:sz w:val="32"/>
          <w:szCs w:val="32"/>
        </w:rPr>
        <w:t>人左右，</w:t>
      </w:r>
      <w:r>
        <w:rPr>
          <w:rFonts w:hint="eastAsia" w:ascii="Times New Roman" w:hAnsi="Times New Roman" w:eastAsia="仿宋_GB2312"/>
          <w:sz w:val="32"/>
          <w:szCs w:val="32"/>
          <w:highlight w:val="yellow"/>
        </w:rPr>
        <w:t>聘期四年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6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kern w:val="0"/>
          <w:sz w:val="32"/>
          <w:szCs w:val="32"/>
        </w:rPr>
        <w:t>第四条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产业教授指导研究生培养工作，与校内导师享有同等权益。省五部门对产业教授与聘任高校联合申报的科技项目、研发载体等，在同等条件下予以优先立项。对产业教授申报省</w:t>
      </w:r>
      <w:r>
        <w:rPr>
          <w:rFonts w:ascii="Times New Roman" w:hAnsi="Times New Roman" w:eastAsia="仿宋_GB2312"/>
          <w:sz w:val="32"/>
          <w:szCs w:val="32"/>
        </w:rPr>
        <w:t xml:space="preserve"> “</w:t>
      </w:r>
      <w:r>
        <w:rPr>
          <w:rFonts w:hint="eastAsia" w:ascii="Times New Roman" w:hAnsi="Times New Roman" w:eastAsia="仿宋_GB2312"/>
          <w:sz w:val="32"/>
          <w:szCs w:val="32"/>
        </w:rPr>
        <w:t>双创计划</w:t>
      </w:r>
      <w:r>
        <w:rPr>
          <w:rFonts w:ascii="Times New Roman" w:hAnsi="Times New Roman" w:eastAsia="仿宋_GB2312"/>
          <w:sz w:val="32"/>
          <w:szCs w:val="32"/>
        </w:rPr>
        <w:t>”“333</w:t>
      </w:r>
      <w:r>
        <w:rPr>
          <w:rFonts w:hint="eastAsia" w:ascii="Times New Roman" w:hAnsi="Times New Roman" w:eastAsia="仿宋_GB2312"/>
          <w:sz w:val="32"/>
          <w:szCs w:val="32"/>
        </w:rPr>
        <w:t>工程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培养对象、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科技企业家培育工程</w:t>
      </w:r>
      <w:r>
        <w:rPr>
          <w:rFonts w:ascii="Times New Roman" w:hAnsi="Times New Roman" w:eastAsia="仿宋_GB2312"/>
          <w:sz w:val="32"/>
          <w:szCs w:val="32"/>
        </w:rPr>
        <w:t>”“</w:t>
      </w:r>
      <w:r>
        <w:rPr>
          <w:rFonts w:hint="eastAsia" w:ascii="Times New Roman" w:hAnsi="Times New Roman" w:eastAsia="仿宋_GB2312"/>
          <w:sz w:val="32"/>
          <w:szCs w:val="32"/>
        </w:rPr>
        <w:t>六大人才高峰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等相关人才项目，在同等条件下予以优先支持。</w:t>
      </w:r>
    </w:p>
    <w:bookmarkEnd w:id="0"/>
    <w:p>
      <w:pPr>
        <w:spacing w:line="600" w:lineRule="exact"/>
        <w:jc w:val="center"/>
        <w:rPr>
          <w:rFonts w:ascii="Times New Roman" w:hAnsi="Times New Roman" w:eastAsia="黑体"/>
          <w:color w:val="141414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141414"/>
          <w:kern w:val="0"/>
          <w:sz w:val="32"/>
          <w:szCs w:val="32"/>
        </w:rPr>
        <w:t>第二章</w:t>
      </w:r>
      <w:r>
        <w:rPr>
          <w:rFonts w:ascii="Times New Roman" w:hAnsi="Times New Roman" w:eastAsia="黑体"/>
          <w:color w:val="141414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黑体"/>
          <w:color w:val="141414"/>
          <w:kern w:val="0"/>
          <w:sz w:val="32"/>
          <w:szCs w:val="32"/>
        </w:rPr>
        <w:t>选聘条件</w:t>
      </w:r>
    </w:p>
    <w:p>
      <w:pPr>
        <w:spacing w:line="600" w:lineRule="exact"/>
        <w:jc w:val="center"/>
        <w:rPr>
          <w:rFonts w:ascii="Times New Roman" w:hAnsi="Times New Roman" w:eastAsia="黑体"/>
          <w:color w:val="141414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5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kern w:val="0"/>
          <w:sz w:val="32"/>
          <w:szCs w:val="32"/>
        </w:rPr>
        <w:t>第五条</w:t>
      </w:r>
      <w:bookmarkStart w:id="1" w:name="_Hlk500783120"/>
      <w:r>
        <w:rPr>
          <w:rFonts w:ascii="Times New Roman" w:hAnsi="Times New Roman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申报产业教授须具备以下条件：</w:t>
      </w:r>
    </w:p>
    <w:p>
      <w:pPr>
        <w:adjustRightInd w:val="0"/>
        <w:snapToGrid w:val="0"/>
        <w:spacing w:line="600" w:lineRule="exact"/>
        <w:ind w:firstLine="645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（一）全面贯彻党的教育方针，具有良好的政治素质和职业道德，热心研究生培养工作；</w:t>
      </w:r>
    </w:p>
    <w:p>
      <w:pPr>
        <w:adjustRightInd w:val="0"/>
        <w:snapToGrid w:val="0"/>
        <w:spacing w:line="600" w:lineRule="exact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（二）原则上应具有硕士</w:t>
      </w:r>
      <w:r>
        <w:rPr>
          <w:rFonts w:hint="eastAsia" w:ascii="Times New Roman" w:hAnsi="Times New Roman" w:eastAsia="仿宋_GB2312"/>
          <w:sz w:val="32"/>
          <w:szCs w:val="32"/>
        </w:rPr>
        <w:t>及以上学位，或具有拟聘任相关学科（领域）高级专业技术职称；</w:t>
      </w:r>
    </w:p>
    <w:p>
      <w:pPr>
        <w:adjustRightInd w:val="0"/>
        <w:snapToGrid w:val="0"/>
        <w:spacing w:line="600" w:lineRule="exact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（三）主持或参与过省级以上科研项目；</w:t>
      </w:r>
    </w:p>
    <w:p>
      <w:pPr>
        <w:adjustRightInd w:val="0"/>
        <w:snapToGrid w:val="0"/>
        <w:spacing w:line="600" w:lineRule="exact"/>
        <w:ind w:firstLine="645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（四）身体健康，年龄一般不超过</w:t>
      </w:r>
      <w:r>
        <w:rPr>
          <w:rFonts w:ascii="Times New Roman" w:hAnsi="Times New Roman" w:eastAsia="仿宋_GB2312"/>
          <w:sz w:val="32"/>
          <w:szCs w:val="32"/>
        </w:rPr>
        <w:t>60</w:t>
      </w:r>
      <w:r>
        <w:rPr>
          <w:rFonts w:hint="eastAsia" w:ascii="Times New Roman" w:hAnsi="Times New Roman" w:eastAsia="仿宋_GB2312"/>
          <w:sz w:val="32"/>
          <w:szCs w:val="32"/>
        </w:rPr>
        <w:t>周岁，</w:t>
      </w:r>
      <w:bookmarkStart w:id="5" w:name="_GoBack"/>
      <w:bookmarkEnd w:id="5"/>
      <w:r>
        <w:rPr>
          <w:rFonts w:hint="eastAsia" w:ascii="Times New Roman" w:hAnsi="Times New Roman" w:eastAsia="仿宋_GB2312"/>
          <w:sz w:val="32"/>
          <w:szCs w:val="32"/>
        </w:rPr>
        <w:t>国家级人才可放宽至</w:t>
      </w:r>
      <w:r>
        <w:rPr>
          <w:rFonts w:ascii="Times New Roman" w:hAnsi="Times New Roman" w:eastAsia="仿宋_GB2312"/>
          <w:sz w:val="32"/>
          <w:szCs w:val="32"/>
        </w:rPr>
        <w:t>65</w:t>
      </w:r>
      <w:r>
        <w:rPr>
          <w:rFonts w:hint="eastAsia" w:ascii="Times New Roman" w:hAnsi="Times New Roman" w:eastAsia="仿宋_GB2312"/>
          <w:sz w:val="32"/>
          <w:szCs w:val="32"/>
        </w:rPr>
        <w:t>周岁；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600" w:lineRule="exact"/>
        <w:ind w:firstLine="645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（五）所在单位应设有江苏省研究生工作站、江苏省博士后科研工作站、江苏省博士后创新实践基地、省级及以上工程技术研究中心、重点实验室、工程实验室等（符合其中之一）。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第六条</w:t>
      </w: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具备以下条件之一者，予以优先选聘。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（一）国家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千人计划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”“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万人计划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”“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百千万人才工程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人选，国家有突出贡献的中青年专家，享受国务院特殊津贴人员，省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双创计划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专家，省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“333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工程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一、二层次培养对象，省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六大人才高峰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”A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类项目人选，省有突出贡献的中青年专家等；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（二）拥有重大发明专利或掌握关键技术，或在重大科技成果转化方面取得突出成绩，研究成果达到国内先进水平者；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（三）所在单位被评为江苏省优秀研究生工作站、江苏省示范博士后科研工作站的。</w:t>
      </w:r>
    </w:p>
    <w:bookmarkEnd w:id="1"/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kern w:val="0"/>
          <w:sz w:val="32"/>
          <w:szCs w:val="32"/>
        </w:rPr>
      </w:pPr>
      <w:bookmarkStart w:id="2" w:name="_Hlk500788786"/>
      <w:r>
        <w:rPr>
          <w:rFonts w:hint="eastAsia" w:ascii="Times New Roman" w:hAnsi="Times New Roman" w:eastAsia="黑体"/>
          <w:kern w:val="0"/>
          <w:sz w:val="32"/>
          <w:szCs w:val="32"/>
        </w:rPr>
        <w:t>第三章</w:t>
      </w:r>
      <w:r>
        <w:rPr>
          <w:rFonts w:ascii="Times New Roman" w:hAnsi="Times New Roman" w:eastAsia="黑体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选聘程序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仿宋_GB2312"/>
          <w:b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b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kern w:val="0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b/>
          <w:kern w:val="0"/>
          <w:sz w:val="32"/>
          <w:szCs w:val="32"/>
        </w:rPr>
        <w:t>第七条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省五部门每年定期发布产业教授选聘计划。高校根据实际需要，自主确定产业教授岗位需求，经省五部门审核后，统一对社会发布。</w:t>
      </w:r>
    </w:p>
    <w:p>
      <w:pPr>
        <w:spacing w:line="600" w:lineRule="exact"/>
        <w:ind w:firstLine="645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kern w:val="0"/>
          <w:sz w:val="32"/>
          <w:szCs w:val="32"/>
        </w:rPr>
        <w:t>第八条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产业教授申报者经所在单位同意、在所在单位予以公示后，向相关高校提出申请（限申请</w:t>
      </w:r>
      <w:r>
        <w:rPr>
          <w:rFonts w:ascii="Times New Roman" w:hAnsi="Times New Roman" w:eastAsia="仿宋_GB2312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所高校）。相关高校组织专家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评审，并将评审结果公示后，将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相关申报材料报送至江苏省产业教授选聘办公室（以下简称</w:t>
      </w:r>
      <w:r>
        <w:rPr>
          <w:rFonts w:ascii="Times New Roman" w:hAnsi="Times New Roman" w:eastAsia="仿宋_GB2312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选聘办公室</w:t>
      </w:r>
      <w:r>
        <w:rPr>
          <w:rFonts w:ascii="Times New Roman" w:hAnsi="Times New Roman" w:eastAsia="仿宋_GB2312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），选聘办公室设在省教育厅研究生教育处（省学位委员会办公室）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。</w:t>
      </w:r>
    </w:p>
    <w:p>
      <w:pPr>
        <w:spacing w:line="600" w:lineRule="exact"/>
        <w:ind w:firstLine="66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kern w:val="0"/>
          <w:sz w:val="32"/>
          <w:szCs w:val="32"/>
        </w:rPr>
        <w:t>第九条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省五部门对高校上报人选进行遴选，将结果进行公示、发布，并为入选者颁发</w:t>
      </w:r>
      <w:r>
        <w:rPr>
          <w:rFonts w:hint="eastAsia" w:ascii="Times New Roman" w:hAnsi="Times New Roman" w:eastAsia="仿宋_GB2312"/>
          <w:sz w:val="32"/>
          <w:szCs w:val="32"/>
        </w:rPr>
        <w:t>江苏省产业教授</w:t>
      </w:r>
      <w:bookmarkEnd w:id="2"/>
      <w:r>
        <w:rPr>
          <w:rFonts w:hint="eastAsia" w:ascii="Times New Roman" w:hAnsi="Times New Roman" w:eastAsia="仿宋_GB2312"/>
          <w:sz w:val="32"/>
          <w:szCs w:val="32"/>
        </w:rPr>
        <w:t>聘书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6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kern w:val="0"/>
          <w:sz w:val="32"/>
          <w:szCs w:val="32"/>
        </w:rPr>
        <w:t>第十条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相关高校与产业教授签订聘任合同，明确双方责权利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kern w:val="0"/>
          <w:sz w:val="32"/>
          <w:szCs w:val="32"/>
        </w:rPr>
      </w:pPr>
      <w:bookmarkStart w:id="3" w:name="_Hlk500788835"/>
      <w:r>
        <w:rPr>
          <w:rFonts w:hint="eastAsia" w:ascii="Times New Roman" w:hAnsi="Times New Roman" w:eastAsia="黑体"/>
          <w:kern w:val="0"/>
          <w:sz w:val="32"/>
          <w:szCs w:val="32"/>
        </w:rPr>
        <w:t>第四章</w:t>
      </w:r>
      <w:r>
        <w:rPr>
          <w:rFonts w:ascii="Times New Roman" w:hAnsi="Times New Roman" w:eastAsia="黑体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工作职责</w:t>
      </w:r>
    </w:p>
    <w:bookmarkEnd w:id="3"/>
    <w:p>
      <w:pPr>
        <w:adjustRightInd w:val="0"/>
        <w:snapToGrid w:val="0"/>
        <w:spacing w:line="600" w:lineRule="exact"/>
        <w:ind w:firstLine="660"/>
        <w:rPr>
          <w:rFonts w:ascii="Times New Roman" w:hAnsi="Times New Roman" w:eastAsia="仿宋_GB2312"/>
          <w:b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6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kern w:val="0"/>
          <w:sz w:val="32"/>
          <w:szCs w:val="32"/>
        </w:rPr>
        <w:t>第十一条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产业教授职责：</w:t>
      </w:r>
    </w:p>
    <w:p>
      <w:pPr>
        <w:adjustRightInd w:val="0"/>
        <w:snapToGrid w:val="0"/>
        <w:spacing w:line="600" w:lineRule="exact"/>
        <w:ind w:firstLine="66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（一）参与高校学科与学位点建设、研究生培养方案制订或修订、教材开发、教学改革等工作。</w:t>
      </w:r>
    </w:p>
    <w:p>
      <w:pPr>
        <w:adjustRightInd w:val="0"/>
        <w:snapToGrid w:val="0"/>
        <w:spacing w:line="600" w:lineRule="exact"/>
        <w:ind w:firstLine="66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（二）指导或联合指导研究生，承担研究生实践课程的建设和教学工作。</w:t>
      </w:r>
    </w:p>
    <w:p>
      <w:pPr>
        <w:adjustRightInd w:val="0"/>
        <w:snapToGrid w:val="0"/>
        <w:spacing w:line="600" w:lineRule="exact"/>
        <w:ind w:firstLine="66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（三）与高校联合开展项目申报、科学研究、科技开发、成果转化；</w:t>
      </w:r>
    </w:p>
    <w:p>
      <w:pPr>
        <w:adjustRightInd w:val="0"/>
        <w:snapToGrid w:val="0"/>
        <w:spacing w:line="600" w:lineRule="exact"/>
        <w:ind w:firstLine="66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（四）推动所在单位与高校共建企业院士工作站、博士后科研工作站、博士后创新实践基地、工程技术研究中心、江苏省优秀研究生工作站、江苏省研究生工作站示范基地。</w:t>
      </w:r>
    </w:p>
    <w:p>
      <w:pPr>
        <w:adjustRightInd w:val="0"/>
        <w:snapToGrid w:val="0"/>
        <w:spacing w:line="600" w:lineRule="exact"/>
        <w:ind w:firstLine="66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kern w:val="0"/>
          <w:sz w:val="32"/>
          <w:szCs w:val="32"/>
        </w:rPr>
        <w:t>第十二条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高校职责：</w:t>
      </w:r>
    </w:p>
    <w:p>
      <w:pPr>
        <w:adjustRightInd w:val="0"/>
        <w:snapToGrid w:val="0"/>
        <w:spacing w:line="600" w:lineRule="exact"/>
        <w:ind w:firstLine="66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（一）制订产业教授选聘细则，明确产业教授岗位职责和权益，明确产业教授具体工作任务和工作量；</w:t>
      </w:r>
    </w:p>
    <w:p>
      <w:pPr>
        <w:adjustRightInd w:val="0"/>
        <w:snapToGrid w:val="0"/>
        <w:spacing w:line="600" w:lineRule="exact"/>
        <w:ind w:firstLine="66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（二）探索产教融合新机制，构建产教研一体化平台；</w:t>
      </w:r>
    </w:p>
    <w:p>
      <w:pPr>
        <w:adjustRightInd w:val="0"/>
        <w:snapToGrid w:val="0"/>
        <w:spacing w:line="600" w:lineRule="exact"/>
        <w:ind w:firstLine="66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（三）为产业教授提供必要的工作条件和经费支持；</w:t>
      </w:r>
    </w:p>
    <w:p>
      <w:pPr>
        <w:adjustRightInd w:val="0"/>
        <w:snapToGrid w:val="0"/>
        <w:spacing w:line="600" w:lineRule="exact"/>
        <w:ind w:firstLine="66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（四）组织产业教授中期考核工作；</w:t>
      </w:r>
    </w:p>
    <w:p>
      <w:pPr>
        <w:adjustRightInd w:val="0"/>
        <w:snapToGrid w:val="0"/>
        <w:spacing w:line="600" w:lineRule="exact"/>
        <w:ind w:firstLine="66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（五）与产业教授所在单位共建各类研发机构，引导和鼓励本校科研人员到企业创新创业，优先向产业教授所在单位转化先进科技成果；</w:t>
      </w:r>
    </w:p>
    <w:p>
      <w:pPr>
        <w:adjustRightInd w:val="0"/>
        <w:snapToGrid w:val="0"/>
        <w:spacing w:line="600" w:lineRule="exact"/>
        <w:ind w:firstLine="66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（六）为产业教授所在单位提供员工技术培训和继续教育；</w:t>
      </w:r>
    </w:p>
    <w:p>
      <w:pPr>
        <w:adjustRightInd w:val="0"/>
        <w:snapToGrid w:val="0"/>
        <w:spacing w:line="600" w:lineRule="exact"/>
        <w:ind w:firstLine="66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（七）推荐优秀毕业生到产业教授所在单位就业。</w:t>
      </w:r>
    </w:p>
    <w:p>
      <w:pPr>
        <w:adjustRightInd w:val="0"/>
        <w:snapToGrid w:val="0"/>
        <w:spacing w:line="600" w:lineRule="exact"/>
        <w:ind w:firstLine="66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kern w:val="0"/>
          <w:sz w:val="32"/>
          <w:szCs w:val="32"/>
        </w:rPr>
        <w:t>第十三条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产业教授所在单位职责：</w:t>
      </w:r>
    </w:p>
    <w:p>
      <w:pPr>
        <w:adjustRightInd w:val="0"/>
        <w:snapToGrid w:val="0"/>
        <w:spacing w:line="600" w:lineRule="exact"/>
        <w:ind w:firstLine="66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（一）支持符合条件的人选申报产业教授，支持产业教授参与高校的人才培养、科学研究，支持科技成果在本单位的转化，参与对产业教授的考核工作；</w:t>
      </w:r>
    </w:p>
    <w:p>
      <w:pPr>
        <w:adjustRightInd w:val="0"/>
        <w:snapToGrid w:val="0"/>
        <w:spacing w:line="600" w:lineRule="exact"/>
        <w:ind w:firstLine="660"/>
        <w:rPr>
          <w:rFonts w:ascii="Times New Roman" w:hAnsi="Times New Roman" w:eastAsia="仿宋_GB2312"/>
          <w:color w:val="111111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（二）为产业教授指导研究生提供实习实践平台和条件，创造条件吸纳优秀研究生在本单位就业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kern w:val="0"/>
          <w:sz w:val="32"/>
          <w:szCs w:val="32"/>
        </w:rPr>
      </w:pPr>
      <w:bookmarkStart w:id="4" w:name="_Hlk500788935"/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第五章</w:t>
      </w:r>
      <w:r>
        <w:rPr>
          <w:rFonts w:ascii="Times New Roman" w:hAnsi="Times New Roman" w:eastAsia="黑体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考核管理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5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/>
          <w:kern w:val="0"/>
          <w:sz w:val="32"/>
          <w:szCs w:val="32"/>
        </w:rPr>
        <w:t>第十四条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产业教授实施中期考核和期满考核。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中期考核和期满考核分别于聘期满两年和聘期结束时进行。考核内容包括履职情况、工作成效等。中期考核分合格、不合格。期满考核分优秀、合格和不合格。</w:t>
      </w:r>
    </w:p>
    <w:p>
      <w:pPr>
        <w:adjustRightInd w:val="0"/>
        <w:snapToGrid w:val="0"/>
        <w:spacing w:line="600" w:lineRule="exact"/>
        <w:ind w:firstLine="645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/>
          <w:kern w:val="0"/>
          <w:sz w:val="32"/>
          <w:szCs w:val="32"/>
        </w:rPr>
        <w:t>第十五条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中期考核由选聘办公室委托高校开展，考核结果报选聘办公室备案。期满考核由选聘办公室组织实施，考核办法另行制订。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/>
          <w:kern w:val="0"/>
          <w:sz w:val="32"/>
          <w:szCs w:val="32"/>
        </w:rPr>
        <w:t>第十六条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产业教授中期考核不合格的，由聘任高校对其进行约谈并要求其整改。整改后一年考核仍不合格者，由高校报省五部门审定后，予以解聘。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kern w:val="0"/>
          <w:sz w:val="32"/>
          <w:szCs w:val="32"/>
        </w:rPr>
        <w:t>第十七条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期满考核优秀且符合申报条件的，经高校和产业教授同意，可直接续聘。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期满考核不合格的，五年内不得申报。</w:t>
      </w:r>
    </w:p>
    <w:p>
      <w:pPr>
        <w:spacing w:line="600" w:lineRule="exact"/>
        <w:ind w:firstLine="66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kern w:val="0"/>
          <w:sz w:val="32"/>
          <w:szCs w:val="32"/>
        </w:rPr>
        <w:t>第十八条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产业教授有下列情形之一的，自动解除聘任合同：</w:t>
      </w:r>
    </w:p>
    <w:p>
      <w:pPr>
        <w:spacing w:line="600" w:lineRule="exact"/>
        <w:ind w:firstLine="66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（一）身体健康原因不能履职的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；</w:t>
      </w:r>
    </w:p>
    <w:p>
      <w:pPr>
        <w:spacing w:line="600" w:lineRule="exact"/>
        <w:ind w:firstLine="66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（二）调离江苏工作的或调离原工作单位不能继续履职的；</w:t>
      </w:r>
    </w:p>
    <w:p>
      <w:pPr>
        <w:spacing w:line="600" w:lineRule="exact"/>
        <w:ind w:firstLine="66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（三）存在学术不端行为的；</w:t>
      </w:r>
    </w:p>
    <w:p>
      <w:pPr>
        <w:spacing w:line="600" w:lineRule="exact"/>
        <w:ind w:firstLine="66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（四）有严重教学、科研、管理等方面事故的；</w:t>
      </w:r>
    </w:p>
    <w:p>
      <w:pPr>
        <w:spacing w:line="600" w:lineRule="exact"/>
        <w:ind w:firstLine="66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（五）有其他严重影响聘任高校和所在单位声誉的。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kern w:val="0"/>
          <w:sz w:val="32"/>
          <w:szCs w:val="32"/>
        </w:rPr>
        <w:t>第十九条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选聘办公室定期对高校产业教授选聘工作进行督查。对履责不力的高校，视实际情况，减少下一年度产业教授选聘名额，或不列入下一年度产业教授选聘高校范围。</w:t>
      </w:r>
    </w:p>
    <w:p>
      <w:pPr>
        <w:spacing w:line="600" w:lineRule="exact"/>
        <w:ind w:firstLine="66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kern w:val="0"/>
          <w:sz w:val="32"/>
          <w:szCs w:val="32"/>
        </w:rPr>
        <w:t>第二十条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省教育厅、省财政厅对产业教授开展工作成效显著的高校予以奖补，并在研究生招生计划安排、相关项目申报等方面给予倾斜。对期满考核为优秀的产业教授，予以通报表扬。</w:t>
      </w:r>
    </w:p>
    <w:bookmarkEnd w:id="4"/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附则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kern w:val="0"/>
          <w:sz w:val="32"/>
          <w:szCs w:val="32"/>
        </w:rPr>
        <w:t>第二十一条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各高校制订的产业教授选聘细则须报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省选聘办公室</w:t>
      </w:r>
      <w:r>
        <w:rPr>
          <w:rFonts w:hint="eastAsia" w:ascii="Times New Roman" w:hAnsi="Times New Roman" w:eastAsia="仿宋_GB2312"/>
          <w:sz w:val="32"/>
          <w:szCs w:val="32"/>
        </w:rPr>
        <w:t>备案。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kern w:val="0"/>
          <w:sz w:val="32"/>
          <w:szCs w:val="32"/>
        </w:rPr>
        <w:t>第二十二条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本办法由选聘办公室负责解释。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kern w:val="0"/>
          <w:sz w:val="32"/>
          <w:szCs w:val="32"/>
        </w:rPr>
        <w:t>第二十三条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本办法自发布之日起施行。</w:t>
      </w:r>
    </w:p>
    <w:p>
      <w:pPr>
        <w:spacing w:line="60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widowControl w:val="0"/>
        <w:spacing w:line="570" w:lineRule="exact"/>
        <w:jc w:val="center"/>
        <w:rPr>
          <w:rFonts w:ascii="Times New Roman" w:hAnsi="Times New Roman" w:eastAsia="方正小标宋简体" w:cs="Times New Roman"/>
          <w:b/>
          <w:spacing w:val="-8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spacing w:val="-8"/>
          <w:sz w:val="44"/>
          <w:szCs w:val="44"/>
        </w:rPr>
        <w:t>省教育厅关于修改</w:t>
      </w:r>
    </w:p>
    <w:p>
      <w:pPr>
        <w:pStyle w:val="2"/>
        <w:widowControl w:val="0"/>
        <w:spacing w:line="570" w:lineRule="exact"/>
        <w:jc w:val="center"/>
        <w:rPr>
          <w:rFonts w:ascii="Times New Roman" w:hAnsi="Times New Roman" w:eastAsia="方正小标宋简体" w:cs="Times New Roman"/>
          <w:b/>
          <w:spacing w:val="-8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spacing w:val="-8"/>
          <w:sz w:val="44"/>
          <w:szCs w:val="44"/>
        </w:rPr>
        <w:t>部分规范性文件的决定</w:t>
      </w:r>
    </w:p>
    <w:p>
      <w:pPr>
        <w:pStyle w:val="2"/>
        <w:widowControl w:val="0"/>
        <w:spacing w:line="570" w:lineRule="exact"/>
        <w:jc w:val="center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（苏教规〔2021〕3号）</w:t>
      </w:r>
    </w:p>
    <w:p>
      <w:pPr>
        <w:pStyle w:val="2"/>
        <w:widowControl w:val="0"/>
        <w:spacing w:line="570" w:lineRule="exact"/>
        <w:jc w:val="center"/>
        <w:rPr>
          <w:rFonts w:ascii="Times New Roman" w:hAnsi="Times New Roman" w:eastAsia="楷体" w:cs="Times New Roman"/>
          <w:b/>
          <w:sz w:val="44"/>
          <w:szCs w:val="44"/>
        </w:rPr>
      </w:pPr>
    </w:p>
    <w:p>
      <w:pPr>
        <w:spacing w:line="57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</w:t>
      </w:r>
      <w:r>
        <w:rPr>
          <w:rFonts w:hint="eastAsia" w:ascii="Times New Roman" w:hAnsi="Times New Roman" w:eastAsia="黑体"/>
          <w:sz w:val="32"/>
          <w:szCs w:val="32"/>
        </w:rPr>
        <w:t>省教育厅关于印发《江苏省产业教授（研究生导师类）选聘办法》的通知（苏教规〔2018〕1号）</w:t>
      </w:r>
    </w:p>
    <w:p>
      <w:pPr>
        <w:spacing w:line="57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将第四条“产业教授指导研究生培养工作，与校内导师享有同等权益。省五部门对产业教授与聘任高校联合申报的科技项目、研发载体等，在同等条件下予以优先立项。对产业教授申报省‘双创计划’‘333工程’培养对象、‘科技企业家培育工程’‘六大人才高峰’等相关人才项目，在同等条件下予以优先支持”，修改为“产业教授指导研究生培养工作，与校内导师享有同等权益。省五部门对产业教授与聘任高校联合申报的科技项目、研发载体等，在同等条件下予以优先立项”。</w:t>
      </w:r>
    </w:p>
    <w:p>
      <w:pPr>
        <w:spacing w:line="57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将第六条“（一）国家‘千人计划’‘万人计划’‘百千万人才工程’人选，国家有突出贡献的中青年专家，享受国务院特殊津贴人员，省‘双创计划’专家，省‘333工程’一、二层次培养对象，省‘六大人才高峰’A类项目人选，省有突出贡献的中青年专家等”，修改为“（一）省级及以上人才计划入选者”。</w:t>
      </w:r>
    </w:p>
    <w:p>
      <w:pPr>
        <w:spacing w:line="570" w:lineRule="exact"/>
        <w:ind w:firstLine="640" w:firstLineChars="200"/>
        <w:jc w:val="left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（三）将第二十条“省教育厅、省财政厅对产业教授开展工作成效显著的高校予以奖补”，修改为“省教育厅、省财政厅将产业教授选聘工作成效作为高校办学评价的重要指标”。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pgNumType w:start="1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9"/>
        <w:rFonts w:asci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t>—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1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ascii="宋体" w:hAnsi="宋体"/>
        <w:sz w:val="28"/>
        <w:szCs w:val="28"/>
      </w:rPr>
      <w:t>—</w:t>
    </w:r>
  </w:p>
  <w:p>
    <w:pPr>
      <w:pStyle w:val="4"/>
      <w:ind w:right="360" w:firstLine="360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C7BD9"/>
    <w:multiLevelType w:val="multilevel"/>
    <w:tmpl w:val="6E1C7BD9"/>
    <w:lvl w:ilvl="0" w:tentative="0">
      <w:start w:val="6"/>
      <w:numFmt w:val="japaneseCounting"/>
      <w:lvlText w:val="第%1章"/>
      <w:lvlJc w:val="left"/>
      <w:pPr>
        <w:tabs>
          <w:tab w:val="left" w:pos="1290"/>
        </w:tabs>
        <w:ind w:left="1290" w:hanging="129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MxNTQxMjIxNGUxYWMwYzBhZmY4NmQ2Y2YzODllNDgifQ=="/>
  </w:docVars>
  <w:rsids>
    <w:rsidRoot w:val="005A2715"/>
    <w:rsid w:val="000051D3"/>
    <w:rsid w:val="00007E7B"/>
    <w:rsid w:val="0001036A"/>
    <w:rsid w:val="0002336F"/>
    <w:rsid w:val="000265A2"/>
    <w:rsid w:val="00026E4E"/>
    <w:rsid w:val="00033006"/>
    <w:rsid w:val="00035380"/>
    <w:rsid w:val="00082426"/>
    <w:rsid w:val="000E4905"/>
    <w:rsid w:val="000F030B"/>
    <w:rsid w:val="00100247"/>
    <w:rsid w:val="0010121F"/>
    <w:rsid w:val="0011004A"/>
    <w:rsid w:val="00117151"/>
    <w:rsid w:val="001237F1"/>
    <w:rsid w:val="00143660"/>
    <w:rsid w:val="00152868"/>
    <w:rsid w:val="00163D02"/>
    <w:rsid w:val="00165D7D"/>
    <w:rsid w:val="00173365"/>
    <w:rsid w:val="00173AF4"/>
    <w:rsid w:val="00181E0E"/>
    <w:rsid w:val="00186D14"/>
    <w:rsid w:val="00193854"/>
    <w:rsid w:val="001B49C5"/>
    <w:rsid w:val="001B5C20"/>
    <w:rsid w:val="001C0D6B"/>
    <w:rsid w:val="001C601B"/>
    <w:rsid w:val="001D6551"/>
    <w:rsid w:val="001F4894"/>
    <w:rsid w:val="00200F06"/>
    <w:rsid w:val="00216265"/>
    <w:rsid w:val="00220171"/>
    <w:rsid w:val="002342F5"/>
    <w:rsid w:val="00241810"/>
    <w:rsid w:val="002429F6"/>
    <w:rsid w:val="002628BC"/>
    <w:rsid w:val="002805DD"/>
    <w:rsid w:val="002864D7"/>
    <w:rsid w:val="00297DF9"/>
    <w:rsid w:val="002A2BD8"/>
    <w:rsid w:val="002A6173"/>
    <w:rsid w:val="002B1EED"/>
    <w:rsid w:val="002C2AFD"/>
    <w:rsid w:val="002C3071"/>
    <w:rsid w:val="002D5946"/>
    <w:rsid w:val="002F113D"/>
    <w:rsid w:val="003235AD"/>
    <w:rsid w:val="00327478"/>
    <w:rsid w:val="00331451"/>
    <w:rsid w:val="003314D7"/>
    <w:rsid w:val="003552FB"/>
    <w:rsid w:val="00363896"/>
    <w:rsid w:val="00380EDB"/>
    <w:rsid w:val="0039121D"/>
    <w:rsid w:val="003B56C3"/>
    <w:rsid w:val="003D25B2"/>
    <w:rsid w:val="003E502D"/>
    <w:rsid w:val="003F424A"/>
    <w:rsid w:val="003F6154"/>
    <w:rsid w:val="00404829"/>
    <w:rsid w:val="00413915"/>
    <w:rsid w:val="00415AB2"/>
    <w:rsid w:val="00423871"/>
    <w:rsid w:val="004447FD"/>
    <w:rsid w:val="00444F99"/>
    <w:rsid w:val="0045185B"/>
    <w:rsid w:val="00451BC4"/>
    <w:rsid w:val="00457230"/>
    <w:rsid w:val="00461CFC"/>
    <w:rsid w:val="004724DE"/>
    <w:rsid w:val="004730FF"/>
    <w:rsid w:val="0047537A"/>
    <w:rsid w:val="00475577"/>
    <w:rsid w:val="00486F43"/>
    <w:rsid w:val="00496947"/>
    <w:rsid w:val="004A06EE"/>
    <w:rsid w:val="004B0545"/>
    <w:rsid w:val="004D5449"/>
    <w:rsid w:val="004F0A76"/>
    <w:rsid w:val="004F71EB"/>
    <w:rsid w:val="004F7900"/>
    <w:rsid w:val="00502F6A"/>
    <w:rsid w:val="00507A2A"/>
    <w:rsid w:val="005129FB"/>
    <w:rsid w:val="005149C3"/>
    <w:rsid w:val="00524EBD"/>
    <w:rsid w:val="00525D92"/>
    <w:rsid w:val="00534E5C"/>
    <w:rsid w:val="00535E56"/>
    <w:rsid w:val="00535FC0"/>
    <w:rsid w:val="005638EF"/>
    <w:rsid w:val="00567D78"/>
    <w:rsid w:val="00583997"/>
    <w:rsid w:val="00590145"/>
    <w:rsid w:val="00590E8B"/>
    <w:rsid w:val="0059180C"/>
    <w:rsid w:val="00595DAF"/>
    <w:rsid w:val="005A21C9"/>
    <w:rsid w:val="005A2715"/>
    <w:rsid w:val="005A28E2"/>
    <w:rsid w:val="005A44B4"/>
    <w:rsid w:val="005B615C"/>
    <w:rsid w:val="005C46D0"/>
    <w:rsid w:val="005C49DA"/>
    <w:rsid w:val="005C6BB1"/>
    <w:rsid w:val="005D17E5"/>
    <w:rsid w:val="005F437C"/>
    <w:rsid w:val="00601110"/>
    <w:rsid w:val="00602269"/>
    <w:rsid w:val="00607E97"/>
    <w:rsid w:val="00631596"/>
    <w:rsid w:val="006453D5"/>
    <w:rsid w:val="00670F0E"/>
    <w:rsid w:val="006735A2"/>
    <w:rsid w:val="006758F3"/>
    <w:rsid w:val="00680DCD"/>
    <w:rsid w:val="00682CB3"/>
    <w:rsid w:val="0069356D"/>
    <w:rsid w:val="00695368"/>
    <w:rsid w:val="006A3344"/>
    <w:rsid w:val="006B19F1"/>
    <w:rsid w:val="006B29F6"/>
    <w:rsid w:val="006B3861"/>
    <w:rsid w:val="006B7794"/>
    <w:rsid w:val="006C38F4"/>
    <w:rsid w:val="006C78A9"/>
    <w:rsid w:val="006D6A98"/>
    <w:rsid w:val="006E3756"/>
    <w:rsid w:val="006E7150"/>
    <w:rsid w:val="006F2F63"/>
    <w:rsid w:val="00704148"/>
    <w:rsid w:val="00726791"/>
    <w:rsid w:val="007273DC"/>
    <w:rsid w:val="00727BCA"/>
    <w:rsid w:val="00741382"/>
    <w:rsid w:val="0074318F"/>
    <w:rsid w:val="00745235"/>
    <w:rsid w:val="00745ECB"/>
    <w:rsid w:val="007727B3"/>
    <w:rsid w:val="00783492"/>
    <w:rsid w:val="007858EA"/>
    <w:rsid w:val="00794C36"/>
    <w:rsid w:val="007A07AC"/>
    <w:rsid w:val="007A7BF4"/>
    <w:rsid w:val="007B5D9B"/>
    <w:rsid w:val="007C0A8F"/>
    <w:rsid w:val="007C0E91"/>
    <w:rsid w:val="007D2E1E"/>
    <w:rsid w:val="007E0E6C"/>
    <w:rsid w:val="00807BBF"/>
    <w:rsid w:val="00832DD3"/>
    <w:rsid w:val="00835638"/>
    <w:rsid w:val="00835EBE"/>
    <w:rsid w:val="00837100"/>
    <w:rsid w:val="0084309F"/>
    <w:rsid w:val="00844BB3"/>
    <w:rsid w:val="00874770"/>
    <w:rsid w:val="009155E8"/>
    <w:rsid w:val="00920F0B"/>
    <w:rsid w:val="00923D91"/>
    <w:rsid w:val="00956C6E"/>
    <w:rsid w:val="0096282A"/>
    <w:rsid w:val="00966B51"/>
    <w:rsid w:val="00981D62"/>
    <w:rsid w:val="009901BF"/>
    <w:rsid w:val="009A60F6"/>
    <w:rsid w:val="009A71AB"/>
    <w:rsid w:val="009B510A"/>
    <w:rsid w:val="009B5A1C"/>
    <w:rsid w:val="009C4274"/>
    <w:rsid w:val="009C7747"/>
    <w:rsid w:val="00A005C4"/>
    <w:rsid w:val="00A0316F"/>
    <w:rsid w:val="00A057FB"/>
    <w:rsid w:val="00A116E4"/>
    <w:rsid w:val="00A16407"/>
    <w:rsid w:val="00A403EF"/>
    <w:rsid w:val="00A43BFF"/>
    <w:rsid w:val="00A63F02"/>
    <w:rsid w:val="00A71D0B"/>
    <w:rsid w:val="00A74B88"/>
    <w:rsid w:val="00A81320"/>
    <w:rsid w:val="00A84ED4"/>
    <w:rsid w:val="00A86D97"/>
    <w:rsid w:val="00A95991"/>
    <w:rsid w:val="00AA5C21"/>
    <w:rsid w:val="00AB738F"/>
    <w:rsid w:val="00AC50F1"/>
    <w:rsid w:val="00AC71CF"/>
    <w:rsid w:val="00AD17BA"/>
    <w:rsid w:val="00AD4756"/>
    <w:rsid w:val="00AE227C"/>
    <w:rsid w:val="00B01E93"/>
    <w:rsid w:val="00B038F1"/>
    <w:rsid w:val="00B209D5"/>
    <w:rsid w:val="00B22849"/>
    <w:rsid w:val="00B33977"/>
    <w:rsid w:val="00B5537B"/>
    <w:rsid w:val="00B56478"/>
    <w:rsid w:val="00B66AF5"/>
    <w:rsid w:val="00B85C43"/>
    <w:rsid w:val="00B947D8"/>
    <w:rsid w:val="00BA2DC2"/>
    <w:rsid w:val="00BA49F3"/>
    <w:rsid w:val="00BC6217"/>
    <w:rsid w:val="00BD3E79"/>
    <w:rsid w:val="00BE50F7"/>
    <w:rsid w:val="00BF39B9"/>
    <w:rsid w:val="00C1083C"/>
    <w:rsid w:val="00C11021"/>
    <w:rsid w:val="00C11752"/>
    <w:rsid w:val="00C11B84"/>
    <w:rsid w:val="00C1225E"/>
    <w:rsid w:val="00C13396"/>
    <w:rsid w:val="00C316BB"/>
    <w:rsid w:val="00C4193D"/>
    <w:rsid w:val="00C42E38"/>
    <w:rsid w:val="00C4604A"/>
    <w:rsid w:val="00C764D5"/>
    <w:rsid w:val="00C76D7E"/>
    <w:rsid w:val="00C81CCC"/>
    <w:rsid w:val="00C84586"/>
    <w:rsid w:val="00C9452B"/>
    <w:rsid w:val="00CA00AB"/>
    <w:rsid w:val="00CC218E"/>
    <w:rsid w:val="00CE05F1"/>
    <w:rsid w:val="00CE722D"/>
    <w:rsid w:val="00CF3242"/>
    <w:rsid w:val="00D12586"/>
    <w:rsid w:val="00D2068B"/>
    <w:rsid w:val="00D23FE4"/>
    <w:rsid w:val="00D35BEC"/>
    <w:rsid w:val="00D36BD0"/>
    <w:rsid w:val="00D47BDD"/>
    <w:rsid w:val="00D5139D"/>
    <w:rsid w:val="00D6528B"/>
    <w:rsid w:val="00D65C10"/>
    <w:rsid w:val="00D718F8"/>
    <w:rsid w:val="00D80B9A"/>
    <w:rsid w:val="00D8316B"/>
    <w:rsid w:val="00D85F02"/>
    <w:rsid w:val="00DA11B3"/>
    <w:rsid w:val="00DA41AF"/>
    <w:rsid w:val="00DC2B9A"/>
    <w:rsid w:val="00DD686E"/>
    <w:rsid w:val="00DE6C31"/>
    <w:rsid w:val="00DF5D85"/>
    <w:rsid w:val="00E025DB"/>
    <w:rsid w:val="00E04B4C"/>
    <w:rsid w:val="00E16546"/>
    <w:rsid w:val="00E21DC4"/>
    <w:rsid w:val="00E4602E"/>
    <w:rsid w:val="00E53742"/>
    <w:rsid w:val="00E54C8A"/>
    <w:rsid w:val="00E60ED7"/>
    <w:rsid w:val="00E66D43"/>
    <w:rsid w:val="00E74743"/>
    <w:rsid w:val="00E84A34"/>
    <w:rsid w:val="00EA0A0B"/>
    <w:rsid w:val="00EA4221"/>
    <w:rsid w:val="00EA725D"/>
    <w:rsid w:val="00EB53EB"/>
    <w:rsid w:val="00EB5703"/>
    <w:rsid w:val="00EC5186"/>
    <w:rsid w:val="00EC7B7F"/>
    <w:rsid w:val="00ED3F35"/>
    <w:rsid w:val="00ED6DA1"/>
    <w:rsid w:val="00EF1556"/>
    <w:rsid w:val="00EF31E1"/>
    <w:rsid w:val="00EF43E3"/>
    <w:rsid w:val="00F0013D"/>
    <w:rsid w:val="00F0474B"/>
    <w:rsid w:val="00F04E2D"/>
    <w:rsid w:val="00F254A3"/>
    <w:rsid w:val="00F2665B"/>
    <w:rsid w:val="00F547AF"/>
    <w:rsid w:val="00F54EF6"/>
    <w:rsid w:val="00F56990"/>
    <w:rsid w:val="00F66B08"/>
    <w:rsid w:val="00F71473"/>
    <w:rsid w:val="00F719DF"/>
    <w:rsid w:val="00F75398"/>
    <w:rsid w:val="00F761D7"/>
    <w:rsid w:val="00F803FE"/>
    <w:rsid w:val="00F84A8A"/>
    <w:rsid w:val="00F864C4"/>
    <w:rsid w:val="00F87C6F"/>
    <w:rsid w:val="00F94B2D"/>
    <w:rsid w:val="00FA2321"/>
    <w:rsid w:val="00FA6158"/>
    <w:rsid w:val="00FC33AE"/>
    <w:rsid w:val="00FD117F"/>
    <w:rsid w:val="00FD2352"/>
    <w:rsid w:val="00FE1320"/>
    <w:rsid w:val="00FE15A9"/>
    <w:rsid w:val="00FE19C3"/>
    <w:rsid w:val="00FF013C"/>
    <w:rsid w:val="6C2C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uiPriority w:val="0"/>
    <w:pPr>
      <w:widowControl/>
      <w:spacing w:line="560" w:lineRule="exact"/>
      <w:jc w:val="left"/>
    </w:pPr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semiHidden/>
    <w:uiPriority w:val="99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qFormat/>
    <w:uiPriority w:val="99"/>
    <w:rPr>
      <w:rFonts w:cs="Times New Roman"/>
    </w:rPr>
  </w:style>
  <w:style w:type="character" w:styleId="10">
    <w:name w:val="Emphasis"/>
    <w:qFormat/>
    <w:uiPriority w:val="99"/>
    <w:rPr>
      <w:rFonts w:cs="Times New Roman"/>
      <w:i/>
      <w:iCs/>
    </w:rPr>
  </w:style>
  <w:style w:type="character" w:customStyle="1" w:styleId="11">
    <w:name w:val="页眉 字符"/>
    <w:link w:val="5"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link w:val="4"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字符"/>
    <w:link w:val="3"/>
    <w:semiHidden/>
    <w:locked/>
    <w:uiPriority w:val="99"/>
    <w:rPr>
      <w:rFonts w:cs="Times New Roman"/>
      <w:sz w:val="18"/>
      <w:szCs w:val="18"/>
    </w:rPr>
  </w:style>
  <w:style w:type="paragraph" w:customStyle="1" w:styleId="14">
    <w:name w:val="Char Char Char Char Char Char Char Char Char Char Char Char Char"/>
    <w:basedOn w:val="1"/>
    <w:uiPriority w:val="99"/>
    <w:pPr>
      <w:widowControl/>
      <w:spacing w:after="160" w:line="240" w:lineRule="exact"/>
      <w:jc w:val="left"/>
    </w:pPr>
    <w:rPr>
      <w:rFonts w:ascii="Arial" w:hAnsi="Arial"/>
      <w:kern w:val="0"/>
      <w:sz w:val="20"/>
      <w:szCs w:val="20"/>
    </w:rPr>
  </w:style>
  <w:style w:type="paragraph" w:customStyle="1" w:styleId="15">
    <w:name w:val="Char Char Char Char Char Char Char Char Char Char Char Char Char1"/>
    <w:basedOn w:val="1"/>
    <w:uiPriority w:val="99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32"/>
      <w:lang w:eastAsia="en-US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纯文本 字符"/>
    <w:link w:val="2"/>
    <w:locked/>
    <w:uiPriority w:val="0"/>
    <w:rPr>
      <w:rFonts w:ascii="宋体" w:hAnsi="Courier New" w:cs="Courier New"/>
      <w:szCs w:val="21"/>
    </w:rPr>
  </w:style>
  <w:style w:type="character" w:customStyle="1" w:styleId="18">
    <w:name w:val="纯文本 字符1"/>
    <w:semiHidden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2890</Words>
  <Characters>2918</Characters>
  <Lines>21</Lines>
  <Paragraphs>6</Paragraphs>
  <TotalTime>30</TotalTime>
  <ScaleCrop>false</ScaleCrop>
  <LinksUpToDate>false</LinksUpToDate>
  <CharactersWithSpaces>2979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2018-02-06T09:10:00Z</dcterms:created>
  <dc:creator>Sophie Xu</dc:creator>
  <cp:lastModifiedBy>盈</cp:lastModifiedBy>
  <cp:lastPrinted>2024-05-31T02:00:21Z</cp:lastPrinted>
  <dcterms:modified xsi:type="dcterms:W3CDTF">2024-05-31T02:00:31Z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BBFA94E071134C9197B8FA48E9F905FC_12</vt:lpwstr>
  </property>
</Properties>
</file>