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就业赛道方案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本科生组面向四年级、五年级学生（不含已通过推免等确定升学的毕业年级学生）。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研究生组面向全体研究生。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参赛选手在大赛平台（网址：z</w:t>
      </w:r>
      <w:r>
        <w:rPr>
          <w:rFonts w:ascii="Times New Roman" w:hAnsi="Times New Roman" w:eastAsia="仿宋_GB2312"/>
          <w:color w:val="000000"/>
          <w:sz w:val="32"/>
          <w:szCs w:val="32"/>
        </w:rPr>
        <w:t>gs.chsi.com.cn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）提交以下参赛材料：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求职简历（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求职综合展示（PPT格式，不超过50MB；可加入视频）。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整合为单个文件，不超过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 参赛材料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上传截止时间：2</w:t>
      </w:r>
      <w:r>
        <w:rPr>
          <w:rFonts w:ascii="Times New Roman" w:hAnsi="Times New Roman" w:eastAsia="仿宋_GB2312"/>
          <w:color w:val="000000"/>
          <w:sz w:val="32"/>
          <w:szCs w:val="32"/>
        </w:rPr>
        <w:t>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4年</w:t>
      </w:r>
      <w:r>
        <w:rPr>
          <w:rFonts w:ascii="Times New Roman" w:hAnsi="Times New Roman" w:eastAsia="仿宋_GB2312"/>
          <w:color w:val="000000"/>
          <w:sz w:val="32"/>
          <w:szCs w:val="32"/>
        </w:rPr>
        <w:t>11月28日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四、校级决赛比赛环节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主题陈述（6分钟）：选手结合求职综合展示P</w:t>
      </w:r>
      <w:r>
        <w:rPr>
          <w:rFonts w:ascii="Times New Roman" w:hAnsi="Times New Roman" w:eastAsia="仿宋_GB2312"/>
          <w:color w:val="000000"/>
          <w:sz w:val="32"/>
          <w:szCs w:val="32"/>
        </w:rPr>
        <w:t>PT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，陈述个人求职意向和职业准备情况。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综合面试（6分钟）：评委提出真实工作场景中可能遇到的问题，选手提出解决方案；评委结合选手陈述自由提问。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就业推荐双选（2分钟）：用人单位根据选手表现，决定是否给出录用意向，并对选手点评。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kNDhhYzg5NjRjNjYzNzM1YWRlZmZiY2JmNDgifQ=="/>
  </w:docVars>
  <w:rsids>
    <w:rsidRoot w:val="76532A61"/>
    <w:rsid w:val="765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2024-11-15T09:55:00Z</dcterms:created>
  <dc:creator>倩倩</dc:creator>
  <cp:lastModifiedBy>倩倩</cp:lastModifiedBy>
  <dcterms:modified xsi:type="dcterms:W3CDTF">2024-11-15T09:55:40Z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AF4B67D141DA4215A18213E95641CADC_11</vt:lpwstr>
  </property>
</Properties>
</file>